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73" w:rsidRPr="00632EA7" w:rsidRDefault="00C26E73" w:rsidP="00632EA7">
      <w:pPr>
        <w:spacing w:after="0" w:line="240" w:lineRule="auto"/>
        <w:jc w:val="center"/>
        <w:rPr>
          <w:rFonts w:cstheme="minorHAnsi"/>
        </w:rPr>
      </w:pPr>
    </w:p>
    <w:p w:rsidR="00C26E73" w:rsidRPr="00632EA7" w:rsidRDefault="00976E91" w:rsidP="00632EA7">
      <w:pPr>
        <w:spacing w:after="0"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Szczegółowy program szkolenia wstępnego dla embriologów i osób pracujących w pracowniach </w:t>
      </w:r>
      <w:proofErr w:type="spellStart"/>
      <w:r w:rsidRPr="00632EA7">
        <w:rPr>
          <w:rFonts w:cstheme="minorHAnsi"/>
        </w:rPr>
        <w:t>seminologicznych</w:t>
      </w:r>
      <w:proofErr w:type="spellEnd"/>
      <w:r w:rsidRPr="00632EA7">
        <w:rPr>
          <w:rFonts w:cstheme="minorHAnsi"/>
        </w:rPr>
        <w:t xml:space="preserve"> oraz pracowników Banków komórek rozrodczych i zarodków, których czynności bezpośrednio wpływają na jakość komórek rozrodczych i zarodków. Program obejmuje 25 godzin dydaktycznych, w tym nie mniej niż 10 godzin zajęć praktycznych.</w:t>
      </w:r>
    </w:p>
    <w:p w:rsidR="00B71893" w:rsidRPr="00632EA7" w:rsidRDefault="00B71893" w:rsidP="00632EA7">
      <w:pPr>
        <w:spacing w:line="240" w:lineRule="auto"/>
        <w:jc w:val="both"/>
        <w:rPr>
          <w:rFonts w:cstheme="minorHAnsi"/>
        </w:rPr>
      </w:pPr>
    </w:p>
    <w:p w:rsidR="00B71893" w:rsidRPr="00632EA7" w:rsidRDefault="00B71893" w:rsidP="00632EA7">
      <w:pPr>
        <w:spacing w:line="240" w:lineRule="auto"/>
        <w:rPr>
          <w:rFonts w:cstheme="minorHAnsi"/>
        </w:rPr>
      </w:pPr>
      <w:r w:rsidRPr="00632EA7">
        <w:rPr>
          <w:rFonts w:cstheme="minorHAnsi"/>
        </w:rPr>
        <w:t>Tematyka</w:t>
      </w:r>
      <w:r w:rsidR="00976E91" w:rsidRPr="00632EA7">
        <w:rPr>
          <w:rFonts w:cstheme="minorHAnsi"/>
        </w:rPr>
        <w:t xml:space="preserve"> zajęć ( z uwzględnieniem zajęć teoretycznych i praktycznych).</w:t>
      </w:r>
    </w:p>
    <w:p w:rsidR="00B71893" w:rsidRPr="00632EA7" w:rsidRDefault="00B71893" w:rsidP="00632EA7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32EA7">
        <w:rPr>
          <w:rFonts w:cstheme="minorHAnsi"/>
        </w:rPr>
        <w:t xml:space="preserve">Polskie i europejskie przepisy prawne dotyczące medycznie wspomaganej prokreacji oraz gromadzenia, testowania, przetwarzania, przechowywania i dystrybucji komórek rozrodczych </w:t>
      </w:r>
      <w:r w:rsidR="00976E91" w:rsidRPr="00632EA7">
        <w:rPr>
          <w:rFonts w:cstheme="minorHAnsi"/>
        </w:rPr>
        <w:br/>
      </w:r>
      <w:r w:rsidRPr="00632EA7">
        <w:rPr>
          <w:rFonts w:cstheme="minorHAnsi"/>
        </w:rPr>
        <w:t>i zarodków – omówienie aktów prawnych</w:t>
      </w:r>
      <w:r w:rsidR="00976E91" w:rsidRPr="00632EA7">
        <w:rPr>
          <w:rFonts w:cstheme="minorHAnsi"/>
        </w:rPr>
        <w:t>.</w:t>
      </w:r>
      <w:r w:rsidRPr="00632EA7">
        <w:rPr>
          <w:rFonts w:cstheme="minorHAnsi"/>
        </w:rPr>
        <w:t xml:space="preserve"> 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rPr>
          <w:rFonts w:cstheme="minorHAnsi"/>
        </w:rPr>
      </w:pPr>
      <w:r w:rsidRPr="00632EA7">
        <w:rPr>
          <w:rFonts w:cstheme="minorHAnsi"/>
        </w:rPr>
        <w:t>Ustawa z dnia 25 czerwca 2015 roku o leczeniu niepłodności i akty wykonawcze do ustawy.</w:t>
      </w:r>
    </w:p>
    <w:p w:rsidR="00B71893" w:rsidRPr="00632EA7" w:rsidRDefault="00B71893" w:rsidP="00632EA7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Rozporządzenie Ministra Zdrowia z dnia 15 października 2015 r. w sprawie szczegółowych wymagań, jakim powinna odpowiadać dokumentacja dotycząca komórek rozrodczyc</w:t>
      </w:r>
      <w:r w:rsidR="00976E91" w:rsidRPr="00632EA7">
        <w:rPr>
          <w:rFonts w:cstheme="minorHAnsi"/>
        </w:rPr>
        <w:t>h i zarodków (Dz. U. poz. 1686).</w:t>
      </w:r>
    </w:p>
    <w:p w:rsidR="00B71893" w:rsidRPr="00632EA7" w:rsidRDefault="00B71893" w:rsidP="00632EA7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Rozporządzenie Ministra Zdrowia z dnia 20 października 2015 r. w sprawie wymagań, jakie powinien spełniać system zapewnienia jakości w ośrodku medycznie wspomaganej prokreacji oraz w banku komórek rozrodczych </w:t>
      </w:r>
      <w:r w:rsidR="00976E91" w:rsidRPr="00632EA7">
        <w:rPr>
          <w:rFonts w:cstheme="minorHAnsi"/>
        </w:rPr>
        <w:br/>
        <w:t>i zarodków (Dz. U. poz. 1727).</w:t>
      </w:r>
    </w:p>
    <w:p w:rsidR="00B71893" w:rsidRPr="00632EA7" w:rsidRDefault="00B71893" w:rsidP="00632EA7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Rozporządzenie Ministra Zdrowia z dnia 20 października 2015 r. w sprawie rejestru dawców komórek rozrodczyc</w:t>
      </w:r>
      <w:r w:rsidR="00976E91" w:rsidRPr="00632EA7">
        <w:rPr>
          <w:rFonts w:cstheme="minorHAnsi"/>
        </w:rPr>
        <w:t>h i zarodków (Dz. U. poz. 1745).</w:t>
      </w:r>
    </w:p>
    <w:p w:rsidR="00B71893" w:rsidRPr="00632EA7" w:rsidRDefault="00B71893" w:rsidP="00632EA7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Rozporządzenie Ministra Zdrowia z dnia 20 października 2015 r. w sprawie szkoleń w zakresie pobierania, przetwarzania, przechowywania, testowania </w:t>
      </w:r>
      <w:r w:rsidR="00976E91" w:rsidRPr="00632EA7">
        <w:rPr>
          <w:rFonts w:cstheme="minorHAnsi"/>
        </w:rPr>
        <w:br/>
      </w:r>
      <w:r w:rsidRPr="00632EA7">
        <w:rPr>
          <w:rFonts w:cstheme="minorHAnsi"/>
        </w:rPr>
        <w:t>i dystrybucji komórek rozrodczych i zarodków przeznaczonych do zastosowania w procedurze medycznie wspomagane</w:t>
      </w:r>
      <w:r w:rsidR="00976E91" w:rsidRPr="00632EA7">
        <w:rPr>
          <w:rFonts w:cstheme="minorHAnsi"/>
        </w:rPr>
        <w:t>j prokreacji (Dz. U. poz. 1740</w:t>
      </w:r>
      <w:r w:rsidR="00632EA7" w:rsidRPr="00632EA7">
        <w:rPr>
          <w:rFonts w:cstheme="minorHAnsi"/>
        </w:rPr>
        <w:t xml:space="preserve"> z </w:t>
      </w:r>
      <w:proofErr w:type="spellStart"/>
      <w:r w:rsidR="00632EA7" w:rsidRPr="00632EA7">
        <w:rPr>
          <w:rFonts w:cstheme="minorHAnsi"/>
        </w:rPr>
        <w:t>późn</w:t>
      </w:r>
      <w:proofErr w:type="spellEnd"/>
      <w:r w:rsidR="00632EA7" w:rsidRPr="00632EA7">
        <w:rPr>
          <w:rFonts w:cstheme="minorHAnsi"/>
        </w:rPr>
        <w:t>. zmianami</w:t>
      </w:r>
      <w:r w:rsidR="00976E91" w:rsidRPr="00632EA7">
        <w:rPr>
          <w:rFonts w:cstheme="minorHAnsi"/>
        </w:rPr>
        <w:t>).</w:t>
      </w:r>
    </w:p>
    <w:p w:rsidR="00B71893" w:rsidRPr="00632EA7" w:rsidRDefault="00B71893" w:rsidP="00632EA7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Rozporządzenie Ministra Zdrowia z dnia 21 października 2015 r. w sprawie niepowtarzalnego oznakowania i monitorowania komórek rozrodczych </w:t>
      </w:r>
      <w:r w:rsidR="00976E91" w:rsidRPr="00632EA7">
        <w:rPr>
          <w:rFonts w:cstheme="minorHAnsi"/>
        </w:rPr>
        <w:br/>
      </w:r>
      <w:r w:rsidRPr="00632EA7">
        <w:rPr>
          <w:rFonts w:cstheme="minorHAnsi"/>
        </w:rPr>
        <w:t>i zarodków (Dz.</w:t>
      </w:r>
      <w:r w:rsidR="00976E91" w:rsidRPr="00632EA7">
        <w:rPr>
          <w:rFonts w:cstheme="minorHAnsi"/>
        </w:rPr>
        <w:t xml:space="preserve"> U. poz. 1747).</w:t>
      </w:r>
    </w:p>
    <w:p w:rsidR="00B71893" w:rsidRPr="00632EA7" w:rsidRDefault="00B71893" w:rsidP="00632EA7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Rozporządzenie Ministra Zdrowia z dnia 21 października 2015 r. w sprawie wywozu z terytorium Rzeczypospolitej Polskiej i przywozu na to terytorium komórek rozrodczyc</w:t>
      </w:r>
      <w:r w:rsidR="00976E91" w:rsidRPr="00632EA7">
        <w:rPr>
          <w:rFonts w:cstheme="minorHAnsi"/>
        </w:rPr>
        <w:t>h i zarodków (Dz. U. poz. 1748).</w:t>
      </w:r>
    </w:p>
    <w:p w:rsidR="00B71893" w:rsidRPr="00632EA7" w:rsidRDefault="00B71893" w:rsidP="00632EA7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Rozporządzenie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</w:t>
      </w:r>
      <w:r w:rsidR="00976E91" w:rsidRPr="00632EA7">
        <w:rPr>
          <w:rFonts w:cstheme="minorHAnsi"/>
        </w:rPr>
        <w:t>j prokreacji (Dz. U. poz. 1718).</w:t>
      </w:r>
    </w:p>
    <w:p w:rsidR="00B71893" w:rsidRPr="00632EA7" w:rsidRDefault="00B71893" w:rsidP="00632EA7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Rozporządzenie Ministra Zdrowia z dnia 27 października 2015 r. w sprawie warunków, jakim powinny odpowiadać pomieszczenia i urządzenia ośrodka medycznie wspomagane</w:t>
      </w:r>
      <w:r w:rsidR="00976E91" w:rsidRPr="00632EA7">
        <w:rPr>
          <w:rFonts w:cstheme="minorHAnsi"/>
        </w:rPr>
        <w:t>j prokreacji (Dz. U. poz. 1750).</w:t>
      </w:r>
    </w:p>
    <w:p w:rsidR="00B71893" w:rsidRPr="00632EA7" w:rsidRDefault="00B71893" w:rsidP="00632EA7">
      <w:pPr>
        <w:pStyle w:val="Akapitzlist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Rozporządzenie Ministra Zdrowia z dnia 27 października 2015 r. w sprawie warunków, jakim powinny odpowiadać pomieszczenia i urządzenia banku komórek rozrodczyc</w:t>
      </w:r>
      <w:r w:rsidR="00976E91" w:rsidRPr="00632EA7">
        <w:rPr>
          <w:rFonts w:cstheme="minorHAnsi"/>
        </w:rPr>
        <w:t>h i zarodków (Dz. U. poz. 1752).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Przepisy Unii Europejskiej</w:t>
      </w:r>
      <w:r w:rsidR="00632EA7" w:rsidRPr="00632EA7">
        <w:rPr>
          <w:rFonts w:cstheme="minorHAnsi"/>
        </w:rPr>
        <w:t xml:space="preserve"> dotyczące medycznie wspomaganej prokreacji oraz gromadzenia, testowania, przetwarzania, przechowywania i dystrybucji komórek rozrodczych i zarodków.</w:t>
      </w:r>
    </w:p>
    <w:p w:rsidR="00B71893" w:rsidRPr="00632EA7" w:rsidRDefault="00B71893" w:rsidP="00632EA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Zasady przejrzystości, bezpieczeństwa i nadzoru nad ośrodkami medycznie wspomaganej prokreacji i bankami komórek rozrodczych i zarodków.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lastRenderedPageBreak/>
        <w:t>Aspekty praktyczne.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Aspekty teoretyczne.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Rekomendacje dotyczące diagnostyki i leczenia niepłodności. </w:t>
      </w:r>
    </w:p>
    <w:p w:rsidR="00632EA7" w:rsidRPr="00632EA7" w:rsidRDefault="00B71893" w:rsidP="00632E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Standardy</w:t>
      </w:r>
      <w:r w:rsidR="00632EA7" w:rsidRPr="00632EA7">
        <w:rPr>
          <w:rFonts w:cstheme="minorHAnsi"/>
        </w:rPr>
        <w:t xml:space="preserve"> i</w:t>
      </w:r>
      <w:r w:rsidRPr="00632EA7">
        <w:rPr>
          <w:rFonts w:cstheme="minorHAnsi"/>
        </w:rPr>
        <w:t xml:space="preserve"> </w:t>
      </w:r>
      <w:r w:rsidR="00632EA7" w:rsidRPr="00632EA7">
        <w:rPr>
          <w:rFonts w:cstheme="minorHAnsi"/>
        </w:rPr>
        <w:t>r</w:t>
      </w:r>
      <w:r w:rsidR="00632EA7" w:rsidRPr="00632EA7">
        <w:rPr>
          <w:rFonts w:cstheme="minorHAnsi"/>
        </w:rPr>
        <w:t xml:space="preserve">ekomendacje dotyczące diagnostyki i leczenia niepłodności. </w:t>
      </w:r>
    </w:p>
    <w:p w:rsidR="00632EA7" w:rsidRPr="00632EA7" w:rsidRDefault="00632EA7" w:rsidP="00632EA7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</w:rPr>
        <w:t xml:space="preserve">Aktualne standardy i rekomendacje ESHRE, ASRM, </w:t>
      </w:r>
      <w:proofErr w:type="spellStart"/>
      <w:r w:rsidRPr="00632EA7">
        <w:rPr>
          <w:rFonts w:cstheme="minorHAnsi"/>
        </w:rPr>
        <w:t>PTGiP</w:t>
      </w:r>
      <w:proofErr w:type="spellEnd"/>
      <w:r w:rsidRPr="00632EA7">
        <w:rPr>
          <w:rFonts w:cstheme="minorHAnsi"/>
        </w:rPr>
        <w:t xml:space="preserve"> </w:t>
      </w:r>
      <w:proofErr w:type="spellStart"/>
      <w:r w:rsidRPr="00632EA7">
        <w:rPr>
          <w:rFonts w:cstheme="minorHAnsi"/>
        </w:rPr>
        <w:t>PTMRiE</w:t>
      </w:r>
      <w:proofErr w:type="spellEnd"/>
      <w:r w:rsidRPr="00632EA7">
        <w:rPr>
          <w:rFonts w:cstheme="minorHAnsi"/>
        </w:rPr>
        <w:t xml:space="preserve"> i inne europejskie, światowe i krajowe</w:t>
      </w:r>
      <w:r w:rsidRPr="00632EA7">
        <w:rPr>
          <w:rFonts w:cstheme="minorHAnsi"/>
        </w:rPr>
        <w:t xml:space="preserve"> dla lekarzy</w:t>
      </w:r>
      <w:r w:rsidRPr="00632EA7">
        <w:rPr>
          <w:rFonts w:cstheme="minorHAnsi"/>
        </w:rPr>
        <w:t>.</w:t>
      </w:r>
    </w:p>
    <w:p w:rsidR="00632EA7" w:rsidRPr="00632EA7" w:rsidRDefault="00632EA7" w:rsidP="00632EA7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theme="minorHAnsi"/>
        </w:rPr>
      </w:pPr>
      <w:r w:rsidRPr="00632EA7">
        <w:rPr>
          <w:rFonts w:cstheme="minorHAnsi"/>
        </w:rPr>
        <w:t xml:space="preserve">Standardy i kodeksy praktyki dla embriologów wykonujących czynności w Ośrodku medycznie wspomaganej prokreacji </w:t>
      </w:r>
      <w:r w:rsidRPr="00632EA7">
        <w:rPr>
          <w:rFonts w:cstheme="minorHAnsi"/>
        </w:rPr>
        <w:t xml:space="preserve">i w </w:t>
      </w:r>
      <w:r w:rsidRPr="00632EA7">
        <w:rPr>
          <w:rFonts w:cstheme="minorHAnsi"/>
        </w:rPr>
        <w:t>Banku komórek rozrodczych i zarodków.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</w:rPr>
      </w:pPr>
      <w:r w:rsidRPr="00632EA7">
        <w:rPr>
          <w:rFonts w:cstheme="minorHAnsi"/>
        </w:rPr>
        <w:t xml:space="preserve">Rekomendacje dotyczące standardów jakości procedur realizowanych </w:t>
      </w:r>
      <w:r w:rsidRPr="00632EA7">
        <w:rPr>
          <w:rFonts w:cstheme="minorHAnsi"/>
        </w:rPr>
        <w:br/>
        <w:t>w pracowniach/laboratoriach IVF i ich monitorowania – Spaczyński R., Kozioł K., Kuczyński W., Kurzawa R., Wołczyński S., Janicka A. – wspólne rekomendacje Polskiego Towarzystwa Medycyny Rozrodu, Ośrodka Studiów nad Płodnością Człowieka, Sekcji Płodności i Niepłodności Polskiego Towarzystwa Ginekologicznego oraz Konsultanta Krajowego ds. Endokrynologii Ginekologicznej i Rozrodczości 2015.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</w:rPr>
      </w:pPr>
      <w:r w:rsidRPr="00632EA7">
        <w:rPr>
          <w:rFonts w:cstheme="minorHAnsi"/>
        </w:rPr>
        <w:t xml:space="preserve">Standardy oceny komórek jajowych i zarodków - rekomendacje </w:t>
      </w:r>
      <w:proofErr w:type="spellStart"/>
      <w:r w:rsidRPr="00632EA7">
        <w:rPr>
          <w:rFonts w:cstheme="minorHAnsi"/>
        </w:rPr>
        <w:t>PTMRiE</w:t>
      </w:r>
      <w:proofErr w:type="spellEnd"/>
      <w:r w:rsidRPr="00632EA7">
        <w:rPr>
          <w:rFonts w:cstheme="minorHAnsi"/>
        </w:rPr>
        <w:t xml:space="preserve"> dla laboratoriów wspomaganego rozrodu – Polskie Towarzystwo Medycyny Rozrodu i Embriologii, Listopad 2015.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>ESHRE Guideline Group on good practice in IVF labs December 2015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 xml:space="preserve">Code of Practice. 9th edition – Human </w:t>
      </w:r>
      <w:proofErr w:type="spellStart"/>
      <w:r w:rsidRPr="00632EA7">
        <w:rPr>
          <w:rFonts w:cstheme="minorHAnsi"/>
          <w:lang w:val="en-US"/>
        </w:rPr>
        <w:t>Fertilisation</w:t>
      </w:r>
      <w:proofErr w:type="spellEnd"/>
      <w:r w:rsidRPr="00632EA7">
        <w:rPr>
          <w:rFonts w:cstheme="minorHAnsi"/>
          <w:lang w:val="en-US"/>
        </w:rPr>
        <w:t xml:space="preserve"> and Embryology Authority – London: HFEA 2019 (Revised December 2019).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>Quality and Risk Management in the IVF Laboratory – Mortimer D., Mortimer S.T. – Cambridge University Press, 2004.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>The Istanbul consensus workshop on embryo assessment: proceedings of an expert meeting – Alpha Scientists in Reproductive Medicine and ESHRE Special Interest Group of Embryology – Human Reproduction 2011; 26:1270–1283.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>WHO laboratory manual for the examination of human semen and sperm-cervical mucus interaction. 5th edition – World Health Organization – Cambridge: Cambridge University Press 2010.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>Blastocyst culture and transfer in clinical-assisted reproduction: a committee opinion – The Practice Committees of the American Society for Reproductive Medicine and the Society for Assisted Reproductive Technology – Fertility and Sterility 2013; 99:667–672.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 xml:space="preserve">Revised guidelines for good practice in IVF laboratories (2015). ESHRE Guideline Group on Good Practice in IVF Labs; Maria José De </w:t>
      </w:r>
      <w:proofErr w:type="spellStart"/>
      <w:r w:rsidRPr="00632EA7">
        <w:rPr>
          <w:rFonts w:cstheme="minorHAnsi"/>
          <w:lang w:val="en-US"/>
        </w:rPr>
        <w:t>los</w:t>
      </w:r>
      <w:proofErr w:type="spellEnd"/>
      <w:r w:rsidRPr="00632EA7">
        <w:rPr>
          <w:rFonts w:cstheme="minorHAnsi"/>
          <w:lang w:val="en-US"/>
        </w:rPr>
        <w:t xml:space="preserve"> Santos, Susanna </w:t>
      </w:r>
      <w:proofErr w:type="spellStart"/>
      <w:r w:rsidRPr="00632EA7">
        <w:rPr>
          <w:rFonts w:cstheme="minorHAnsi"/>
          <w:lang w:val="en-US"/>
        </w:rPr>
        <w:t>Apter</w:t>
      </w:r>
      <w:proofErr w:type="spellEnd"/>
      <w:r w:rsidRPr="00632EA7">
        <w:rPr>
          <w:rFonts w:cstheme="minorHAnsi"/>
          <w:lang w:val="en-US"/>
        </w:rPr>
        <w:t xml:space="preserve">, Giovanni </w:t>
      </w:r>
      <w:proofErr w:type="spellStart"/>
      <w:r w:rsidRPr="00632EA7">
        <w:rPr>
          <w:rFonts w:cstheme="minorHAnsi"/>
          <w:lang w:val="en-US"/>
        </w:rPr>
        <w:t>Coticchio</w:t>
      </w:r>
      <w:proofErr w:type="spellEnd"/>
      <w:r w:rsidRPr="00632EA7">
        <w:rPr>
          <w:rFonts w:cstheme="minorHAnsi"/>
          <w:lang w:val="en-US"/>
        </w:rPr>
        <w:t xml:space="preserve">, Sophie </w:t>
      </w:r>
      <w:proofErr w:type="spellStart"/>
      <w:r w:rsidRPr="00632EA7">
        <w:rPr>
          <w:rFonts w:cstheme="minorHAnsi"/>
          <w:lang w:val="en-US"/>
        </w:rPr>
        <w:t>Debrock</w:t>
      </w:r>
      <w:proofErr w:type="spellEnd"/>
      <w:r w:rsidRPr="00632EA7">
        <w:rPr>
          <w:rFonts w:cstheme="minorHAnsi"/>
          <w:lang w:val="en-US"/>
        </w:rPr>
        <w:t xml:space="preserve">, </w:t>
      </w:r>
      <w:proofErr w:type="spellStart"/>
      <w:r w:rsidRPr="00632EA7">
        <w:rPr>
          <w:rFonts w:cstheme="minorHAnsi"/>
          <w:lang w:val="en-US"/>
        </w:rPr>
        <w:t>Kersti</w:t>
      </w:r>
      <w:proofErr w:type="spellEnd"/>
      <w:r w:rsidRPr="00632EA7">
        <w:rPr>
          <w:rFonts w:cstheme="minorHAnsi"/>
          <w:lang w:val="en-US"/>
        </w:rPr>
        <w:t xml:space="preserve"> Lundin, Carlos E </w:t>
      </w:r>
      <w:proofErr w:type="spellStart"/>
      <w:r w:rsidRPr="00632EA7">
        <w:rPr>
          <w:rFonts w:cstheme="minorHAnsi"/>
          <w:lang w:val="en-US"/>
        </w:rPr>
        <w:t>Plancha</w:t>
      </w:r>
      <w:proofErr w:type="spellEnd"/>
      <w:r w:rsidRPr="00632EA7">
        <w:rPr>
          <w:rFonts w:cstheme="minorHAnsi"/>
          <w:lang w:val="en-US"/>
        </w:rPr>
        <w:t xml:space="preserve">, Fernando </w:t>
      </w:r>
      <w:proofErr w:type="spellStart"/>
      <w:r w:rsidRPr="00632EA7">
        <w:rPr>
          <w:rFonts w:cstheme="minorHAnsi"/>
          <w:lang w:val="en-US"/>
        </w:rPr>
        <w:t>Prados</w:t>
      </w:r>
      <w:proofErr w:type="spellEnd"/>
      <w:r w:rsidRPr="00632EA7">
        <w:rPr>
          <w:rFonts w:cstheme="minorHAnsi"/>
          <w:lang w:val="en-US"/>
        </w:rPr>
        <w:t xml:space="preserve">, Laura Rienzi, Greta </w:t>
      </w:r>
      <w:proofErr w:type="spellStart"/>
      <w:r w:rsidRPr="00632EA7">
        <w:rPr>
          <w:rFonts w:cstheme="minorHAnsi"/>
          <w:lang w:val="en-US"/>
        </w:rPr>
        <w:t>Verheyen</w:t>
      </w:r>
      <w:proofErr w:type="spellEnd"/>
      <w:r w:rsidRPr="00632EA7">
        <w:rPr>
          <w:rFonts w:cstheme="minorHAnsi"/>
          <w:lang w:val="en-US"/>
        </w:rPr>
        <w:t xml:space="preserve">, Bryan Woodward, Nathalie </w:t>
      </w:r>
      <w:proofErr w:type="spellStart"/>
      <w:r w:rsidRPr="00632EA7">
        <w:rPr>
          <w:rFonts w:cstheme="minorHAnsi"/>
          <w:lang w:val="en-US"/>
        </w:rPr>
        <w:t>Vermeulen</w:t>
      </w:r>
      <w:proofErr w:type="spellEnd"/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 xml:space="preserve">The Vienna consensus: report of an expert meeting on the development of ART laboratory performance indicators. ESHRE Special Interest Group of Embryology and Alpha Scientists in Reproductive Medicine. </w:t>
      </w:r>
      <w:proofErr w:type="spellStart"/>
      <w:r w:rsidRPr="00632EA7">
        <w:rPr>
          <w:rFonts w:cstheme="minorHAnsi"/>
          <w:lang w:val="en-US"/>
        </w:rPr>
        <w:t>Reprod</w:t>
      </w:r>
      <w:proofErr w:type="spellEnd"/>
      <w:r w:rsidRPr="00632EA7">
        <w:rPr>
          <w:rFonts w:cstheme="minorHAnsi"/>
          <w:lang w:val="en-US"/>
        </w:rPr>
        <w:t xml:space="preserve"> Biomed Online 2017 Nov;35(5):494-510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 xml:space="preserve">Good practice recommendations for the use of time-lapse technology. ESHRE Working group on Time-lapse technology; Susanna </w:t>
      </w:r>
      <w:proofErr w:type="spellStart"/>
      <w:r w:rsidRPr="00632EA7">
        <w:rPr>
          <w:rFonts w:cstheme="minorHAnsi"/>
          <w:lang w:val="en-US"/>
        </w:rPr>
        <w:t>Apter</w:t>
      </w:r>
      <w:proofErr w:type="spellEnd"/>
      <w:r w:rsidRPr="00632EA7">
        <w:rPr>
          <w:rFonts w:cstheme="minorHAnsi"/>
          <w:lang w:val="en-US"/>
        </w:rPr>
        <w:t xml:space="preserve">, Thomas </w:t>
      </w:r>
      <w:proofErr w:type="spellStart"/>
      <w:r w:rsidRPr="00632EA7">
        <w:rPr>
          <w:rFonts w:cstheme="minorHAnsi"/>
          <w:lang w:val="en-US"/>
        </w:rPr>
        <w:t>Ebner</w:t>
      </w:r>
      <w:proofErr w:type="spellEnd"/>
      <w:r w:rsidRPr="00632EA7">
        <w:rPr>
          <w:rFonts w:cstheme="minorHAnsi"/>
          <w:lang w:val="en-US"/>
        </w:rPr>
        <w:t xml:space="preserve">, Thomas </w:t>
      </w:r>
      <w:proofErr w:type="spellStart"/>
      <w:r w:rsidRPr="00632EA7">
        <w:rPr>
          <w:rFonts w:cstheme="minorHAnsi"/>
          <w:lang w:val="en-US"/>
        </w:rPr>
        <w:t>Freour</w:t>
      </w:r>
      <w:proofErr w:type="spellEnd"/>
      <w:r w:rsidRPr="00632EA7">
        <w:rPr>
          <w:rFonts w:cstheme="minorHAnsi"/>
          <w:lang w:val="en-US"/>
        </w:rPr>
        <w:t xml:space="preserve">, Yves Guns, </w:t>
      </w:r>
      <w:proofErr w:type="spellStart"/>
      <w:r w:rsidRPr="00632EA7">
        <w:rPr>
          <w:rFonts w:cstheme="minorHAnsi"/>
          <w:lang w:val="en-US"/>
        </w:rPr>
        <w:t>Borut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Kovacic</w:t>
      </w:r>
      <w:proofErr w:type="spellEnd"/>
      <w:r w:rsidRPr="00632EA7">
        <w:rPr>
          <w:rFonts w:cstheme="minorHAnsi"/>
          <w:lang w:val="en-US"/>
        </w:rPr>
        <w:t xml:space="preserve">, Nathalie Le Clef, Monica Marques, Marcos </w:t>
      </w:r>
      <w:proofErr w:type="spellStart"/>
      <w:r w:rsidRPr="00632EA7">
        <w:rPr>
          <w:rFonts w:cstheme="minorHAnsi"/>
          <w:lang w:val="en-US"/>
        </w:rPr>
        <w:t>Meseguer</w:t>
      </w:r>
      <w:proofErr w:type="spellEnd"/>
      <w:r w:rsidRPr="00632EA7">
        <w:rPr>
          <w:rFonts w:cstheme="minorHAnsi"/>
          <w:lang w:val="en-US"/>
        </w:rPr>
        <w:t xml:space="preserve">, Debbie </w:t>
      </w:r>
      <w:proofErr w:type="spellStart"/>
      <w:r w:rsidRPr="00632EA7">
        <w:rPr>
          <w:rFonts w:cstheme="minorHAnsi"/>
          <w:lang w:val="en-US"/>
        </w:rPr>
        <w:t>Montjean</w:t>
      </w:r>
      <w:proofErr w:type="spellEnd"/>
      <w:r w:rsidRPr="00632EA7">
        <w:rPr>
          <w:rFonts w:cstheme="minorHAnsi"/>
          <w:lang w:val="en-US"/>
        </w:rPr>
        <w:t xml:space="preserve">, </w:t>
      </w:r>
      <w:proofErr w:type="spellStart"/>
      <w:r w:rsidRPr="00632EA7">
        <w:rPr>
          <w:rFonts w:cstheme="minorHAnsi"/>
          <w:lang w:val="en-US"/>
        </w:rPr>
        <w:t>Ioannis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Sfontouris</w:t>
      </w:r>
      <w:proofErr w:type="spellEnd"/>
      <w:r w:rsidRPr="00632EA7">
        <w:rPr>
          <w:rFonts w:cstheme="minorHAnsi"/>
          <w:lang w:val="en-US"/>
        </w:rPr>
        <w:t xml:space="preserve">, Roger </w:t>
      </w:r>
      <w:proofErr w:type="spellStart"/>
      <w:r w:rsidRPr="00632EA7">
        <w:rPr>
          <w:rFonts w:cstheme="minorHAnsi"/>
          <w:lang w:val="en-US"/>
        </w:rPr>
        <w:t>Sturmey</w:t>
      </w:r>
      <w:proofErr w:type="spellEnd"/>
      <w:r w:rsidRPr="00632EA7">
        <w:rPr>
          <w:rFonts w:cstheme="minorHAnsi"/>
          <w:lang w:val="en-US"/>
        </w:rPr>
        <w:t xml:space="preserve">, Giovanni </w:t>
      </w:r>
      <w:proofErr w:type="spellStart"/>
      <w:r w:rsidRPr="00632EA7">
        <w:rPr>
          <w:rFonts w:cstheme="minorHAnsi"/>
          <w:lang w:val="en-US"/>
        </w:rPr>
        <w:t>Coticchio</w:t>
      </w:r>
      <w:proofErr w:type="spellEnd"/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 xml:space="preserve">ESHRE PGT Consortium good practice recommendations for the </w:t>
      </w:r>
      <w:proofErr w:type="spellStart"/>
      <w:r w:rsidRPr="00632EA7">
        <w:rPr>
          <w:rFonts w:cstheme="minorHAnsi"/>
          <w:lang w:val="en-US"/>
        </w:rPr>
        <w:t>organisation</w:t>
      </w:r>
      <w:proofErr w:type="spellEnd"/>
      <w:r w:rsidRPr="00632EA7">
        <w:rPr>
          <w:rFonts w:cstheme="minorHAnsi"/>
          <w:lang w:val="en-US"/>
        </w:rPr>
        <w:t xml:space="preserve"> of PGT.</w:t>
      </w:r>
      <w:r w:rsidRPr="00632EA7">
        <w:rPr>
          <w:rFonts w:cstheme="minorHAnsi"/>
        </w:rPr>
        <w:t xml:space="preserve"> </w:t>
      </w:r>
      <w:r w:rsidRPr="00632EA7">
        <w:rPr>
          <w:rFonts w:cstheme="minorHAnsi"/>
          <w:lang w:val="en-US"/>
        </w:rPr>
        <w:t xml:space="preserve">ESHRE PGT Consortium Steering Committee, </w:t>
      </w:r>
      <w:proofErr w:type="spellStart"/>
      <w:r w:rsidRPr="00632EA7">
        <w:rPr>
          <w:rFonts w:cstheme="minorHAnsi"/>
          <w:lang w:val="en-US"/>
        </w:rPr>
        <w:t>Filipa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Carvalho</w:t>
      </w:r>
      <w:proofErr w:type="spellEnd"/>
      <w:r w:rsidRPr="00632EA7">
        <w:rPr>
          <w:rFonts w:cstheme="minorHAnsi"/>
          <w:lang w:val="en-US"/>
        </w:rPr>
        <w:t xml:space="preserve">, Edith </w:t>
      </w:r>
      <w:proofErr w:type="spellStart"/>
      <w:r w:rsidRPr="00632EA7">
        <w:rPr>
          <w:rFonts w:cstheme="minorHAnsi"/>
          <w:lang w:val="en-US"/>
        </w:rPr>
        <w:t>Coonen</w:t>
      </w:r>
      <w:proofErr w:type="spellEnd"/>
      <w:r w:rsidRPr="00632EA7">
        <w:rPr>
          <w:rFonts w:cstheme="minorHAnsi"/>
          <w:lang w:val="en-US"/>
        </w:rPr>
        <w:t xml:space="preserve">, </w:t>
      </w:r>
      <w:proofErr w:type="spellStart"/>
      <w:r w:rsidRPr="00632EA7">
        <w:rPr>
          <w:rFonts w:cstheme="minorHAnsi"/>
          <w:lang w:val="en-US"/>
        </w:rPr>
        <w:t>Veerle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Goossens</w:t>
      </w:r>
      <w:proofErr w:type="spellEnd"/>
      <w:r w:rsidRPr="00632EA7">
        <w:rPr>
          <w:rFonts w:cstheme="minorHAnsi"/>
          <w:lang w:val="en-US"/>
        </w:rPr>
        <w:t xml:space="preserve">, Georgia Kokkali, Carmen Rubio, </w:t>
      </w:r>
      <w:proofErr w:type="spellStart"/>
      <w:r w:rsidRPr="00632EA7">
        <w:rPr>
          <w:rFonts w:cstheme="minorHAnsi"/>
          <w:lang w:val="en-US"/>
        </w:rPr>
        <w:t>Madelon</w:t>
      </w:r>
      <w:proofErr w:type="spellEnd"/>
      <w:r w:rsidRPr="00632EA7">
        <w:rPr>
          <w:rFonts w:cstheme="minorHAnsi"/>
          <w:lang w:val="en-US"/>
        </w:rPr>
        <w:t xml:space="preserve"> Meijer-</w:t>
      </w:r>
      <w:proofErr w:type="spellStart"/>
      <w:r w:rsidRPr="00632EA7">
        <w:rPr>
          <w:rFonts w:cstheme="minorHAnsi"/>
          <w:lang w:val="en-US"/>
        </w:rPr>
        <w:t>Hoogeveen</w:t>
      </w:r>
      <w:proofErr w:type="spellEnd"/>
      <w:r w:rsidRPr="00632EA7">
        <w:rPr>
          <w:rFonts w:cstheme="minorHAnsi"/>
          <w:lang w:val="en-US"/>
        </w:rPr>
        <w:t xml:space="preserve">, </w:t>
      </w:r>
      <w:r w:rsidRPr="00632EA7">
        <w:rPr>
          <w:rFonts w:cstheme="minorHAnsi"/>
          <w:lang w:val="en-US"/>
        </w:rPr>
        <w:lastRenderedPageBreak/>
        <w:t xml:space="preserve">Céline </w:t>
      </w:r>
      <w:proofErr w:type="spellStart"/>
      <w:r w:rsidRPr="00632EA7">
        <w:rPr>
          <w:rFonts w:cstheme="minorHAnsi"/>
          <w:lang w:val="en-US"/>
        </w:rPr>
        <w:t>Moutou</w:t>
      </w:r>
      <w:proofErr w:type="spellEnd"/>
      <w:r w:rsidRPr="00632EA7">
        <w:rPr>
          <w:rFonts w:cstheme="minorHAnsi"/>
          <w:lang w:val="en-US"/>
        </w:rPr>
        <w:t xml:space="preserve">, Nathalie </w:t>
      </w:r>
      <w:proofErr w:type="spellStart"/>
      <w:r w:rsidRPr="00632EA7">
        <w:rPr>
          <w:rFonts w:cstheme="minorHAnsi"/>
          <w:lang w:val="en-US"/>
        </w:rPr>
        <w:t>Vermeulen</w:t>
      </w:r>
      <w:proofErr w:type="spellEnd"/>
      <w:r w:rsidRPr="00632EA7">
        <w:rPr>
          <w:rFonts w:cstheme="minorHAnsi"/>
          <w:lang w:val="en-US"/>
        </w:rPr>
        <w:t xml:space="preserve">, Martine De </w:t>
      </w:r>
      <w:proofErr w:type="spellStart"/>
      <w:r w:rsidRPr="00632EA7">
        <w:rPr>
          <w:rFonts w:cstheme="minorHAnsi"/>
          <w:lang w:val="en-US"/>
        </w:rPr>
        <w:t>Rycke</w:t>
      </w:r>
      <w:proofErr w:type="spellEnd"/>
      <w:r w:rsidRPr="00632EA7">
        <w:rPr>
          <w:rFonts w:cstheme="minorHAnsi"/>
          <w:lang w:val="en-US"/>
        </w:rPr>
        <w:t>. Human Reproduction Open, Volume 2020, Issue 3, 2020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 xml:space="preserve">ESHRE PGT Consortium and SIG Embryology good practice recommendations for polar body and embryo biopsy for PGT. ESHRE PGT Consortium and SIG-Embryology Biopsy Working Group, Georgia Kokkali, Giovanni </w:t>
      </w:r>
      <w:proofErr w:type="spellStart"/>
      <w:r w:rsidRPr="00632EA7">
        <w:rPr>
          <w:rFonts w:cstheme="minorHAnsi"/>
          <w:lang w:val="en-US"/>
        </w:rPr>
        <w:t>Coticchio</w:t>
      </w:r>
      <w:proofErr w:type="spellEnd"/>
      <w:r w:rsidRPr="00632EA7">
        <w:rPr>
          <w:rFonts w:cstheme="minorHAnsi"/>
          <w:lang w:val="en-US"/>
        </w:rPr>
        <w:t xml:space="preserve">, Fernando </w:t>
      </w:r>
      <w:proofErr w:type="spellStart"/>
      <w:r w:rsidRPr="00632EA7">
        <w:rPr>
          <w:rFonts w:cstheme="minorHAnsi"/>
          <w:lang w:val="en-US"/>
        </w:rPr>
        <w:t>Bronet</w:t>
      </w:r>
      <w:proofErr w:type="spellEnd"/>
      <w:r w:rsidRPr="00632EA7">
        <w:rPr>
          <w:rFonts w:cstheme="minorHAnsi"/>
          <w:lang w:val="en-US"/>
        </w:rPr>
        <w:t xml:space="preserve">, Catherine </w:t>
      </w:r>
      <w:proofErr w:type="spellStart"/>
      <w:r w:rsidRPr="00632EA7">
        <w:rPr>
          <w:rFonts w:cstheme="minorHAnsi"/>
          <w:lang w:val="en-US"/>
        </w:rPr>
        <w:t>Celebi</w:t>
      </w:r>
      <w:proofErr w:type="spellEnd"/>
      <w:r w:rsidRPr="00632EA7">
        <w:rPr>
          <w:rFonts w:cstheme="minorHAnsi"/>
          <w:lang w:val="en-US"/>
        </w:rPr>
        <w:t xml:space="preserve">, Danilo </w:t>
      </w:r>
      <w:proofErr w:type="spellStart"/>
      <w:r w:rsidRPr="00632EA7">
        <w:rPr>
          <w:rFonts w:cstheme="minorHAnsi"/>
          <w:lang w:val="en-US"/>
        </w:rPr>
        <w:t>Cimadomo</w:t>
      </w:r>
      <w:proofErr w:type="spellEnd"/>
      <w:r w:rsidRPr="00632EA7">
        <w:rPr>
          <w:rFonts w:cstheme="minorHAnsi"/>
          <w:lang w:val="en-US"/>
        </w:rPr>
        <w:t xml:space="preserve">, </w:t>
      </w:r>
      <w:proofErr w:type="spellStart"/>
      <w:r w:rsidRPr="00632EA7">
        <w:rPr>
          <w:rFonts w:cstheme="minorHAnsi"/>
          <w:lang w:val="en-US"/>
        </w:rPr>
        <w:t>Veerle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Goossens</w:t>
      </w:r>
      <w:proofErr w:type="spellEnd"/>
      <w:r w:rsidRPr="00632EA7">
        <w:rPr>
          <w:rFonts w:cstheme="minorHAnsi"/>
          <w:lang w:val="en-US"/>
        </w:rPr>
        <w:t xml:space="preserve">, Joanna </w:t>
      </w:r>
      <w:proofErr w:type="spellStart"/>
      <w:r w:rsidRPr="00632EA7">
        <w:rPr>
          <w:rFonts w:cstheme="minorHAnsi"/>
          <w:lang w:val="en-US"/>
        </w:rPr>
        <w:t>Liss</w:t>
      </w:r>
      <w:proofErr w:type="spellEnd"/>
      <w:r w:rsidRPr="00632EA7">
        <w:rPr>
          <w:rFonts w:cstheme="minorHAnsi"/>
          <w:lang w:val="en-US"/>
        </w:rPr>
        <w:t xml:space="preserve">, Sofia </w:t>
      </w:r>
      <w:proofErr w:type="spellStart"/>
      <w:r w:rsidRPr="00632EA7">
        <w:rPr>
          <w:rFonts w:cstheme="minorHAnsi"/>
          <w:lang w:val="en-US"/>
        </w:rPr>
        <w:t>Nunes</w:t>
      </w:r>
      <w:proofErr w:type="spellEnd"/>
      <w:r w:rsidRPr="00632EA7">
        <w:rPr>
          <w:rFonts w:cstheme="minorHAnsi"/>
          <w:lang w:val="en-US"/>
        </w:rPr>
        <w:t xml:space="preserve">, </w:t>
      </w:r>
      <w:proofErr w:type="spellStart"/>
      <w:r w:rsidRPr="00632EA7">
        <w:rPr>
          <w:rFonts w:cstheme="minorHAnsi"/>
          <w:lang w:val="en-US"/>
        </w:rPr>
        <w:t>Ioannis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Sfontouris</w:t>
      </w:r>
      <w:proofErr w:type="spellEnd"/>
      <w:r w:rsidRPr="00632EA7">
        <w:rPr>
          <w:rFonts w:cstheme="minorHAnsi"/>
          <w:lang w:val="en-US"/>
        </w:rPr>
        <w:t xml:space="preserve">, Nathalie </w:t>
      </w:r>
      <w:proofErr w:type="spellStart"/>
      <w:r w:rsidRPr="00632EA7">
        <w:rPr>
          <w:rFonts w:cstheme="minorHAnsi"/>
          <w:lang w:val="en-US"/>
        </w:rPr>
        <w:t>Vermeulen</w:t>
      </w:r>
      <w:proofErr w:type="spellEnd"/>
      <w:r w:rsidRPr="00632EA7">
        <w:rPr>
          <w:rFonts w:cstheme="minorHAnsi"/>
          <w:lang w:val="en-US"/>
        </w:rPr>
        <w:t xml:space="preserve">, Elena </w:t>
      </w:r>
      <w:proofErr w:type="spellStart"/>
      <w:r w:rsidRPr="00632EA7">
        <w:rPr>
          <w:rFonts w:cstheme="minorHAnsi"/>
          <w:lang w:val="en-US"/>
        </w:rPr>
        <w:t>Zakharova</w:t>
      </w:r>
      <w:proofErr w:type="spellEnd"/>
      <w:r w:rsidRPr="00632EA7">
        <w:rPr>
          <w:rFonts w:cstheme="minorHAnsi"/>
          <w:lang w:val="en-US"/>
        </w:rPr>
        <w:t xml:space="preserve">, Martine De </w:t>
      </w:r>
      <w:proofErr w:type="spellStart"/>
      <w:r w:rsidRPr="00632EA7">
        <w:rPr>
          <w:rFonts w:cstheme="minorHAnsi"/>
          <w:lang w:val="en-US"/>
        </w:rPr>
        <w:t>Rycke</w:t>
      </w:r>
      <w:proofErr w:type="spellEnd"/>
      <w:r w:rsidRPr="00632EA7">
        <w:rPr>
          <w:rFonts w:cstheme="minorHAnsi"/>
          <w:lang w:val="en-US"/>
        </w:rPr>
        <w:t>. Human Reproduction Open, Volume 2020, Issue 3, 2020</w:t>
      </w:r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 xml:space="preserve">ESHRE PGT Consortium good practice recommendations for the detection of monogenic disorders. ESHRE PGT-M Working Group, </w:t>
      </w:r>
      <w:proofErr w:type="spellStart"/>
      <w:r w:rsidRPr="00632EA7">
        <w:rPr>
          <w:rFonts w:cstheme="minorHAnsi"/>
          <w:lang w:val="en-US"/>
        </w:rPr>
        <w:t>Filipa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Carvalho</w:t>
      </w:r>
      <w:proofErr w:type="spellEnd"/>
      <w:r w:rsidRPr="00632EA7">
        <w:rPr>
          <w:rFonts w:cstheme="minorHAnsi"/>
          <w:lang w:val="en-US"/>
        </w:rPr>
        <w:t xml:space="preserve">, Céline </w:t>
      </w:r>
      <w:proofErr w:type="spellStart"/>
      <w:r w:rsidRPr="00632EA7">
        <w:rPr>
          <w:rFonts w:cstheme="minorHAnsi"/>
          <w:lang w:val="en-US"/>
        </w:rPr>
        <w:t>Moutou</w:t>
      </w:r>
      <w:proofErr w:type="spellEnd"/>
      <w:r w:rsidRPr="00632EA7">
        <w:rPr>
          <w:rFonts w:cstheme="minorHAnsi"/>
          <w:lang w:val="en-US"/>
        </w:rPr>
        <w:t xml:space="preserve">, </w:t>
      </w:r>
      <w:proofErr w:type="spellStart"/>
      <w:r w:rsidRPr="00632EA7">
        <w:rPr>
          <w:rFonts w:cstheme="minorHAnsi"/>
          <w:lang w:val="en-US"/>
        </w:rPr>
        <w:t>Eftychia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Dimitriadou</w:t>
      </w:r>
      <w:proofErr w:type="spellEnd"/>
      <w:r w:rsidRPr="00632EA7">
        <w:rPr>
          <w:rFonts w:cstheme="minorHAnsi"/>
          <w:lang w:val="en-US"/>
        </w:rPr>
        <w:t xml:space="preserve">, Jos </w:t>
      </w:r>
      <w:proofErr w:type="spellStart"/>
      <w:r w:rsidRPr="00632EA7">
        <w:rPr>
          <w:rFonts w:cstheme="minorHAnsi"/>
          <w:lang w:val="en-US"/>
        </w:rPr>
        <w:t>Dreesen</w:t>
      </w:r>
      <w:proofErr w:type="spellEnd"/>
      <w:r w:rsidRPr="00632EA7">
        <w:rPr>
          <w:rFonts w:cstheme="minorHAnsi"/>
          <w:lang w:val="en-US"/>
        </w:rPr>
        <w:t xml:space="preserve">, </w:t>
      </w:r>
      <w:proofErr w:type="spellStart"/>
      <w:r w:rsidRPr="00632EA7">
        <w:rPr>
          <w:rFonts w:cstheme="minorHAnsi"/>
          <w:lang w:val="en-US"/>
        </w:rPr>
        <w:t>Carles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Giménez</w:t>
      </w:r>
      <w:proofErr w:type="spellEnd"/>
      <w:r w:rsidRPr="00632EA7">
        <w:rPr>
          <w:rFonts w:cstheme="minorHAnsi"/>
          <w:lang w:val="en-US"/>
        </w:rPr>
        <w:t xml:space="preserve">, </w:t>
      </w:r>
      <w:proofErr w:type="spellStart"/>
      <w:r w:rsidRPr="00632EA7">
        <w:rPr>
          <w:rFonts w:cstheme="minorHAnsi"/>
          <w:lang w:val="en-US"/>
        </w:rPr>
        <w:t>Veerle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Goossens</w:t>
      </w:r>
      <w:proofErr w:type="spellEnd"/>
      <w:r w:rsidRPr="00632EA7">
        <w:rPr>
          <w:rFonts w:cstheme="minorHAnsi"/>
          <w:lang w:val="en-US"/>
        </w:rPr>
        <w:t xml:space="preserve">, Georgia </w:t>
      </w:r>
      <w:proofErr w:type="spellStart"/>
      <w:r w:rsidRPr="00632EA7">
        <w:rPr>
          <w:rFonts w:cstheme="minorHAnsi"/>
          <w:lang w:val="en-US"/>
        </w:rPr>
        <w:t>Kakourou</w:t>
      </w:r>
      <w:proofErr w:type="spellEnd"/>
      <w:r w:rsidRPr="00632EA7">
        <w:rPr>
          <w:rFonts w:cstheme="minorHAnsi"/>
          <w:lang w:val="en-US"/>
        </w:rPr>
        <w:t xml:space="preserve">, Nathalie </w:t>
      </w:r>
      <w:proofErr w:type="spellStart"/>
      <w:r w:rsidRPr="00632EA7">
        <w:rPr>
          <w:rFonts w:cstheme="minorHAnsi"/>
          <w:lang w:val="en-US"/>
        </w:rPr>
        <w:t>Vermeulen</w:t>
      </w:r>
      <w:proofErr w:type="spellEnd"/>
      <w:r w:rsidRPr="00632EA7">
        <w:rPr>
          <w:rFonts w:cstheme="minorHAnsi"/>
          <w:lang w:val="en-US"/>
        </w:rPr>
        <w:t xml:space="preserve">, Daniela Zuccarello, Martine De </w:t>
      </w:r>
      <w:proofErr w:type="spellStart"/>
      <w:r w:rsidRPr="00632EA7">
        <w:rPr>
          <w:rFonts w:cstheme="minorHAnsi"/>
          <w:lang w:val="en-US"/>
        </w:rPr>
        <w:t>Rycke</w:t>
      </w:r>
      <w:proofErr w:type="spellEnd"/>
    </w:p>
    <w:p w:rsidR="00632EA7" w:rsidRPr="00632EA7" w:rsidRDefault="00632EA7" w:rsidP="00632EA7">
      <w:pPr>
        <w:numPr>
          <w:ilvl w:val="0"/>
          <w:numId w:val="41"/>
        </w:numPr>
        <w:spacing w:after="0" w:line="240" w:lineRule="auto"/>
        <w:ind w:left="1843"/>
        <w:contextualSpacing/>
        <w:jc w:val="both"/>
        <w:rPr>
          <w:rFonts w:cstheme="minorHAnsi"/>
          <w:lang w:val="en-US"/>
        </w:rPr>
      </w:pPr>
      <w:r w:rsidRPr="00632EA7">
        <w:rPr>
          <w:rFonts w:cstheme="minorHAnsi"/>
          <w:lang w:val="en-US"/>
        </w:rPr>
        <w:t xml:space="preserve">ESHRE PGT Consortium good practice recommendations for the detection of structural and numerical chromosomal aberrations. ESHRE PGT-SR/PGT-A Working Group, Edith </w:t>
      </w:r>
      <w:proofErr w:type="spellStart"/>
      <w:r w:rsidRPr="00632EA7">
        <w:rPr>
          <w:rFonts w:cstheme="minorHAnsi"/>
          <w:lang w:val="en-US"/>
        </w:rPr>
        <w:t>Coonen</w:t>
      </w:r>
      <w:proofErr w:type="spellEnd"/>
      <w:r w:rsidRPr="00632EA7">
        <w:rPr>
          <w:rFonts w:cstheme="minorHAnsi"/>
          <w:lang w:val="en-US"/>
        </w:rPr>
        <w:t xml:space="preserve">, Carmen Rubio, Dimitra </w:t>
      </w:r>
      <w:proofErr w:type="spellStart"/>
      <w:r w:rsidRPr="00632EA7">
        <w:rPr>
          <w:rFonts w:cstheme="minorHAnsi"/>
          <w:lang w:val="en-US"/>
        </w:rPr>
        <w:t>Christopikou</w:t>
      </w:r>
      <w:proofErr w:type="spellEnd"/>
      <w:r w:rsidRPr="00632EA7">
        <w:rPr>
          <w:rFonts w:cstheme="minorHAnsi"/>
          <w:lang w:val="en-US"/>
        </w:rPr>
        <w:t xml:space="preserve">, </w:t>
      </w:r>
      <w:proofErr w:type="spellStart"/>
      <w:r w:rsidRPr="00632EA7">
        <w:rPr>
          <w:rFonts w:cstheme="minorHAnsi"/>
          <w:lang w:val="en-US"/>
        </w:rPr>
        <w:t>Eftychia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Dimitriadou</w:t>
      </w:r>
      <w:proofErr w:type="spellEnd"/>
      <w:r w:rsidRPr="00632EA7">
        <w:rPr>
          <w:rFonts w:cstheme="minorHAnsi"/>
          <w:lang w:val="en-US"/>
        </w:rPr>
        <w:t xml:space="preserve">, Julia </w:t>
      </w:r>
      <w:proofErr w:type="spellStart"/>
      <w:r w:rsidRPr="00632EA7">
        <w:rPr>
          <w:rFonts w:cstheme="minorHAnsi"/>
          <w:lang w:val="en-US"/>
        </w:rPr>
        <w:t>Gontar</w:t>
      </w:r>
      <w:proofErr w:type="spellEnd"/>
      <w:r w:rsidRPr="00632EA7">
        <w:rPr>
          <w:rFonts w:cstheme="minorHAnsi"/>
          <w:lang w:val="en-US"/>
        </w:rPr>
        <w:t xml:space="preserve">, </w:t>
      </w:r>
      <w:proofErr w:type="spellStart"/>
      <w:r w:rsidRPr="00632EA7">
        <w:rPr>
          <w:rFonts w:cstheme="minorHAnsi"/>
          <w:lang w:val="en-US"/>
        </w:rPr>
        <w:t>Veerle</w:t>
      </w:r>
      <w:proofErr w:type="spellEnd"/>
      <w:r w:rsidRPr="00632EA7">
        <w:rPr>
          <w:rFonts w:cstheme="minorHAnsi"/>
          <w:lang w:val="en-US"/>
        </w:rPr>
        <w:t xml:space="preserve"> </w:t>
      </w:r>
      <w:proofErr w:type="spellStart"/>
      <w:r w:rsidRPr="00632EA7">
        <w:rPr>
          <w:rFonts w:cstheme="minorHAnsi"/>
          <w:lang w:val="en-US"/>
        </w:rPr>
        <w:t>Goossens</w:t>
      </w:r>
      <w:proofErr w:type="spellEnd"/>
      <w:r w:rsidRPr="00632EA7">
        <w:rPr>
          <w:rFonts w:cstheme="minorHAnsi"/>
          <w:lang w:val="en-US"/>
        </w:rPr>
        <w:t xml:space="preserve">, Maria Maurer, Francesca </w:t>
      </w:r>
      <w:proofErr w:type="spellStart"/>
      <w:r w:rsidRPr="00632EA7">
        <w:rPr>
          <w:rFonts w:cstheme="minorHAnsi"/>
          <w:lang w:val="en-US"/>
        </w:rPr>
        <w:t>Spinella</w:t>
      </w:r>
      <w:proofErr w:type="spellEnd"/>
      <w:r w:rsidRPr="00632EA7">
        <w:rPr>
          <w:rFonts w:cstheme="minorHAnsi"/>
          <w:lang w:val="en-US"/>
        </w:rPr>
        <w:t xml:space="preserve">, Nathalie </w:t>
      </w:r>
      <w:proofErr w:type="spellStart"/>
      <w:r w:rsidRPr="00632EA7">
        <w:rPr>
          <w:rFonts w:cstheme="minorHAnsi"/>
          <w:lang w:val="en-US"/>
        </w:rPr>
        <w:t>Vermeulen</w:t>
      </w:r>
      <w:proofErr w:type="spellEnd"/>
      <w:r w:rsidRPr="00632EA7">
        <w:rPr>
          <w:rFonts w:cstheme="minorHAnsi"/>
          <w:lang w:val="en-US"/>
        </w:rPr>
        <w:t xml:space="preserve">, Martine De </w:t>
      </w:r>
      <w:proofErr w:type="spellStart"/>
      <w:r w:rsidRPr="00632EA7">
        <w:rPr>
          <w:rFonts w:cstheme="minorHAnsi"/>
          <w:lang w:val="en-US"/>
        </w:rPr>
        <w:t>Rycke</w:t>
      </w:r>
      <w:proofErr w:type="spellEnd"/>
      <w:r w:rsidRPr="00632EA7">
        <w:rPr>
          <w:rFonts w:cstheme="minorHAnsi"/>
          <w:lang w:val="en-US"/>
        </w:rPr>
        <w:t>. Human Reproduction Open, Volume 2020, Issue 3, 2020</w:t>
      </w:r>
    </w:p>
    <w:p w:rsidR="00B71893" w:rsidRPr="00632EA7" w:rsidRDefault="00B71893" w:rsidP="00632EA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lang w:val="en-US"/>
        </w:rPr>
      </w:pPr>
      <w:r w:rsidRPr="00632EA7">
        <w:rPr>
          <w:rFonts w:cstheme="minorHAnsi"/>
        </w:rPr>
        <w:t>Ośrodek medycznie wspomaganej prokreacji – zasady działania w świetle obowiązujących przepisów prawnych.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Podstawy prawne i organizacyjne. 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Osoba odpowiedzialna za jakość w Ośrodku medycznie wspomaganej prokreacji:</w:t>
      </w:r>
    </w:p>
    <w:p w:rsidR="00B71893" w:rsidRPr="00632EA7" w:rsidRDefault="00B71893" w:rsidP="00632EA7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wymagane wykształcenie i doświadczenie, </w:t>
      </w:r>
    </w:p>
    <w:p w:rsidR="00B71893" w:rsidRPr="00632EA7" w:rsidRDefault="00B71893" w:rsidP="00632EA7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stanowisko, pozycja, rola i zadania,</w:t>
      </w:r>
    </w:p>
    <w:p w:rsidR="00B71893" w:rsidRPr="00632EA7" w:rsidRDefault="00B71893" w:rsidP="00632EA7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obowiązki (w szczególności: dbanie o działanie zgodnie z ustawą, przekazywanie danych do rejestru dawców komórek rozrodczych i zarodków, powiadamianie o zdarzeniach nieporządnych i niepożądanych reakcjach).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Zasady funkcjonowania. 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Wyposażenie.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Personel. 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Organizacja procedury medycznie wspomaganej prokreacji. 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Współpraca z bankami komórek rozrodczych i zarodków, innymi ośrodkami medycznie wspomaganej prokreacji oraz innymi podmiotami.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Zarządzanie ośrodkiem medycznie wspomaganej prokreacji.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Systemy zapewnienia jakości i zarządzania ryzykiem w Ośrodku medycznie wspomaganej prokreacji.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Zasady bezpieczeństwa i higieny pracy.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Powiadamianie o istotnych niepożądanych reakcjach i istotnych zdarzeniach niepożądanych. 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Raportowanie procedur. 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Kontrola.</w:t>
      </w:r>
    </w:p>
    <w:p w:rsidR="00B71893" w:rsidRPr="00632EA7" w:rsidRDefault="00B71893" w:rsidP="00632EA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Symulacje poszczególnych etapów pracy osoby odpowiedzialnej za jakość w ośrodku medycznie wspomaganej prokreacji. 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Postawy etyczne stosowania metod medycznie wspomaganej prokreacji.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Zasady dobrej praktyki medycznej w medycznie wspomaganej prokreacji.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Zasady prowadzenia dokumentacji dotyczącej wszystkich etapów leczenia metodami rozrodu wspomaganego medycznie.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Właściwa komunikacja z Pacjentem </w:t>
      </w:r>
    </w:p>
    <w:p w:rsidR="00966261" w:rsidRPr="00632EA7" w:rsidRDefault="00966261" w:rsidP="00632EA7">
      <w:pPr>
        <w:pStyle w:val="Akapitzlist"/>
        <w:numPr>
          <w:ilvl w:val="1"/>
          <w:numId w:val="45"/>
        </w:numPr>
        <w:spacing w:line="240" w:lineRule="auto"/>
        <w:rPr>
          <w:rFonts w:cstheme="minorHAnsi"/>
        </w:rPr>
      </w:pPr>
      <w:r w:rsidRPr="00632EA7">
        <w:rPr>
          <w:rFonts w:cstheme="minorHAnsi"/>
        </w:rPr>
        <w:t xml:space="preserve">Zasady komunikacji z Pacjentami. </w:t>
      </w:r>
    </w:p>
    <w:p w:rsidR="00B71893" w:rsidRPr="00632EA7" w:rsidRDefault="00B71893" w:rsidP="00632EA7">
      <w:pPr>
        <w:pStyle w:val="Akapitzlist"/>
        <w:numPr>
          <w:ilvl w:val="1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Informowanie pacjentów leczonych metodami medycznie wspomaganej prokreacji.</w:t>
      </w:r>
    </w:p>
    <w:p w:rsidR="00B71893" w:rsidRPr="00632EA7" w:rsidRDefault="00B71893" w:rsidP="00632EA7">
      <w:pPr>
        <w:pStyle w:val="Akapitzlist"/>
        <w:numPr>
          <w:ilvl w:val="1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lastRenderedPageBreak/>
        <w:t>Zasady odbierania od Pacjentów świadomej zgody na leczenie z zastosowaniem metod medycznie wspomaganej prokreacji oraz cofnięcia zgody na leczenie i wykorzystanie komórek oraz zarodków.</w:t>
      </w:r>
    </w:p>
    <w:p w:rsidR="00B71893" w:rsidRPr="00632EA7" w:rsidRDefault="00B71893" w:rsidP="00632EA7">
      <w:pPr>
        <w:pStyle w:val="Akapitzlist"/>
        <w:numPr>
          <w:ilvl w:val="1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Odpowiedzialność cywilna</w:t>
      </w:r>
      <w:r w:rsidR="00966261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Standardy jakości i bezpieczeństwa leczenia metodami medycznie wspomaganej prokreacji. 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Dokumentacja czynności i procesów. </w:t>
      </w:r>
    </w:p>
    <w:p w:rsidR="00B71893" w:rsidRPr="00632EA7" w:rsidRDefault="00B71893" w:rsidP="00632EA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Zakres koniecznych parametrów. </w:t>
      </w:r>
    </w:p>
    <w:p w:rsidR="00B71893" w:rsidRPr="00632EA7" w:rsidRDefault="00B71893" w:rsidP="00632EA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Kontrola warunków zewnętrznych. </w:t>
      </w:r>
    </w:p>
    <w:p w:rsidR="00B71893" w:rsidRPr="00632EA7" w:rsidRDefault="00B71893" w:rsidP="00632EA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Elektroniczne bazy danych. </w:t>
      </w:r>
    </w:p>
    <w:p w:rsidR="00B71893" w:rsidRPr="00632EA7" w:rsidRDefault="00B71893" w:rsidP="00632EA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Współpraca z rejestrem dawców komórek rozrodczych i zarodków.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Podstawowe zagadnienia z zakresu kwalifikacji do zapłodnienia pozaustrojowego. 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Dawstwo komórek rozrodczych i zarodków do zastosowania u ludzi w procedurze medycznie wspomaganej prokreacji. </w:t>
      </w:r>
    </w:p>
    <w:p w:rsidR="00B71893" w:rsidRPr="00632EA7" w:rsidRDefault="00B71893" w:rsidP="00632EA7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Dawstwo partnerskie, dawstwo inne niż partnerskie</w:t>
      </w:r>
      <w:r w:rsidR="00966261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Ramy prawne i podstawy prawne.</w:t>
      </w:r>
    </w:p>
    <w:p w:rsidR="00B71893" w:rsidRPr="00632EA7" w:rsidRDefault="00B71893" w:rsidP="00632EA7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Zasady postępowania. </w:t>
      </w:r>
    </w:p>
    <w:p w:rsidR="00B71893" w:rsidRPr="00632EA7" w:rsidRDefault="00B71893" w:rsidP="00632EA7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Anonimowość. </w:t>
      </w:r>
    </w:p>
    <w:p w:rsidR="00B71893" w:rsidRPr="00632EA7" w:rsidRDefault="00B71893" w:rsidP="00632EA7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Wskazania medyczne.</w:t>
      </w:r>
    </w:p>
    <w:p w:rsidR="00B71893" w:rsidRPr="00632EA7" w:rsidRDefault="00B71893" w:rsidP="00632EA7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Dobór dawców - dobór pod względem fenotypowym</w:t>
      </w:r>
      <w:r w:rsidR="00966261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Świadoma zgoda. </w:t>
      </w:r>
    </w:p>
    <w:p w:rsidR="00B71893" w:rsidRPr="00632EA7" w:rsidRDefault="00B71893" w:rsidP="00632EA7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Dawcy zwiększonego ryzyka.</w:t>
      </w:r>
      <w:r w:rsidRPr="00632EA7">
        <w:rPr>
          <w:rFonts w:cstheme="minorHAnsi"/>
        </w:rPr>
        <w:tab/>
      </w:r>
    </w:p>
    <w:p w:rsidR="00B71893" w:rsidRPr="00632EA7" w:rsidRDefault="00B71893" w:rsidP="00632EA7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Dokumentowanie czynności.</w:t>
      </w:r>
      <w:r w:rsidRPr="00632EA7">
        <w:rPr>
          <w:rFonts w:cstheme="minorHAnsi"/>
        </w:rPr>
        <w:tab/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Podstawowe zagadnienia z zakresu zabezpieczenia płodności na przyszłość.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Komórki rozrodcze i zarodki w procedurze medycznie wspomaganej prokreacji. </w:t>
      </w:r>
    </w:p>
    <w:p w:rsidR="00B71893" w:rsidRPr="00632EA7" w:rsidRDefault="00B71893" w:rsidP="00632EA7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Wpływ warunków zewnętrznych - temperatura, wilgotność, przepływ powietrza.</w:t>
      </w:r>
    </w:p>
    <w:p w:rsidR="00B71893" w:rsidRPr="00632EA7" w:rsidRDefault="00B71893" w:rsidP="00632EA7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Kontrola warunków. </w:t>
      </w:r>
    </w:p>
    <w:p w:rsidR="00B71893" w:rsidRPr="00632EA7" w:rsidRDefault="00B71893" w:rsidP="00632EA7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Zapewnienie jakości.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Diagnostyka </w:t>
      </w:r>
      <w:proofErr w:type="spellStart"/>
      <w:r w:rsidRPr="00632EA7">
        <w:rPr>
          <w:rFonts w:cstheme="minorHAnsi"/>
        </w:rPr>
        <w:t>preimplantacyjna</w:t>
      </w:r>
      <w:proofErr w:type="spellEnd"/>
      <w:r w:rsidRPr="00632EA7">
        <w:rPr>
          <w:rFonts w:cstheme="minorHAnsi"/>
        </w:rPr>
        <w:t xml:space="preserve"> i </w:t>
      </w:r>
      <w:proofErr w:type="spellStart"/>
      <w:r w:rsidRPr="00632EA7">
        <w:rPr>
          <w:rFonts w:cstheme="minorHAnsi"/>
        </w:rPr>
        <w:t>skrining</w:t>
      </w:r>
      <w:proofErr w:type="spellEnd"/>
      <w:r w:rsidRPr="00632EA7">
        <w:rPr>
          <w:rFonts w:cstheme="minorHAnsi"/>
        </w:rPr>
        <w:t xml:space="preserve"> </w:t>
      </w:r>
      <w:proofErr w:type="spellStart"/>
      <w:r w:rsidRPr="00632EA7">
        <w:rPr>
          <w:rFonts w:cstheme="minorHAnsi"/>
        </w:rPr>
        <w:t>preimplantacyjny</w:t>
      </w:r>
      <w:proofErr w:type="spellEnd"/>
      <w:r w:rsidRPr="00632EA7">
        <w:rPr>
          <w:rFonts w:cstheme="minorHAnsi"/>
        </w:rPr>
        <w:t xml:space="preserve">. </w:t>
      </w:r>
    </w:p>
    <w:p w:rsidR="00B71893" w:rsidRPr="00632EA7" w:rsidRDefault="00B71893" w:rsidP="00632EA7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Podstawy prawne.</w:t>
      </w:r>
    </w:p>
    <w:p w:rsidR="00B71893" w:rsidRPr="00632EA7" w:rsidRDefault="00B71893" w:rsidP="00632EA7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Wskazania do diagnostyki. </w:t>
      </w:r>
    </w:p>
    <w:p w:rsidR="00B71893" w:rsidRPr="00632EA7" w:rsidRDefault="00B71893" w:rsidP="00632EA7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Podstawy zaburzeń genetycznych komórek rozrodczych i zarodków. </w:t>
      </w:r>
    </w:p>
    <w:p w:rsidR="00B71893" w:rsidRPr="00632EA7" w:rsidRDefault="00B71893" w:rsidP="00632EA7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Możliwości oceny - materiał, metody.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Koordynacja sali zabiegowej oraz laboratorium embriologicznego.</w:t>
      </w:r>
    </w:p>
    <w:p w:rsidR="00B71893" w:rsidRPr="00632EA7" w:rsidRDefault="00B71893" w:rsidP="00632EA7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Identyfikacja kluczowych elementów wpływających na jakość i bezpieczeństwo procedur.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Indywidualna kontrola jakości pracy lekarza wykonującego przeniesienie komórek rozrodczych albo zarodków do organizmu biorczyni. </w:t>
      </w:r>
    </w:p>
    <w:p w:rsidR="00B71893" w:rsidRPr="00632EA7" w:rsidRDefault="00B71893" w:rsidP="00632EA7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Kontrola bezpieczeństwa przeniesienia.</w:t>
      </w:r>
      <w:r w:rsidRPr="00632EA7">
        <w:rPr>
          <w:rFonts w:cstheme="minorHAnsi"/>
        </w:rPr>
        <w:tab/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Indywidualna kontrola jakości pracy embriologa wykonującego przeniesienie komórek rozrodczych albo zarodków do organizmu biorczyni. </w:t>
      </w:r>
    </w:p>
    <w:p w:rsidR="00B71893" w:rsidRPr="00632EA7" w:rsidRDefault="00B71893" w:rsidP="00632EA7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Krzywa uczenia. </w:t>
      </w:r>
    </w:p>
    <w:p w:rsidR="00B71893" w:rsidRPr="00632EA7" w:rsidRDefault="00B71893" w:rsidP="00632EA7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Standaryzacja opisów warunków przeniesienia. </w:t>
      </w:r>
    </w:p>
    <w:p w:rsidR="00B71893" w:rsidRPr="00632EA7" w:rsidRDefault="00B71893" w:rsidP="00632EA7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Kontrola bezpieczeństwa przeniesienia.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Kontrola jakości w laboratorium </w:t>
      </w:r>
      <w:proofErr w:type="spellStart"/>
      <w:r w:rsidRPr="00632EA7">
        <w:rPr>
          <w:rFonts w:cstheme="minorHAnsi"/>
        </w:rPr>
        <w:t>seminologicznym</w:t>
      </w:r>
      <w:proofErr w:type="spellEnd"/>
      <w:r w:rsidRPr="00632EA7">
        <w:rPr>
          <w:rFonts w:cstheme="minorHAnsi"/>
        </w:rPr>
        <w:t xml:space="preserve"> oraz embriologicznym.</w:t>
      </w:r>
    </w:p>
    <w:p w:rsidR="00B71893" w:rsidRPr="00632EA7" w:rsidRDefault="00B71893" w:rsidP="00632EA7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Kontrola jakości w laboratorium </w:t>
      </w:r>
      <w:proofErr w:type="spellStart"/>
      <w:r w:rsidRPr="00632EA7">
        <w:rPr>
          <w:rFonts w:cstheme="minorHAnsi"/>
        </w:rPr>
        <w:t>seminologicznym</w:t>
      </w:r>
      <w:proofErr w:type="spellEnd"/>
      <w:r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2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Kontrola jakości w laboratorium embriologicznym.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Urządzenia do kontrolowanego zamrażania próbek biologicznych. </w:t>
      </w:r>
    </w:p>
    <w:p w:rsidR="00B71893" w:rsidRPr="00632EA7" w:rsidRDefault="00B71893" w:rsidP="00632EA7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Rodzaje urządzeń do kontrolowanego zamrażania próbek biologicznych.</w:t>
      </w:r>
    </w:p>
    <w:p w:rsidR="00B71893" w:rsidRPr="00632EA7" w:rsidRDefault="00B71893" w:rsidP="00632EA7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Programowanie urządzeń w zależności od specyfiki materiału biologicznego.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Podstawy kriobiologii. </w:t>
      </w:r>
    </w:p>
    <w:p w:rsidR="00B71893" w:rsidRPr="00632EA7" w:rsidRDefault="00B71893" w:rsidP="00632EA7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lastRenderedPageBreak/>
        <w:t xml:space="preserve">Tworzenie kryształów lodu. </w:t>
      </w:r>
    </w:p>
    <w:p w:rsidR="00B71893" w:rsidRPr="00632EA7" w:rsidRDefault="00B71893" w:rsidP="00632EA7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Wolne protokoły mrożeniowe. </w:t>
      </w:r>
    </w:p>
    <w:p w:rsidR="00B71893" w:rsidRPr="00632EA7" w:rsidRDefault="00B71893" w:rsidP="00632EA7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proofErr w:type="spellStart"/>
      <w:r w:rsidRPr="00632EA7">
        <w:rPr>
          <w:rFonts w:cstheme="minorHAnsi"/>
        </w:rPr>
        <w:t>Seeding</w:t>
      </w:r>
      <w:proofErr w:type="spellEnd"/>
      <w:r w:rsidRPr="00632EA7">
        <w:rPr>
          <w:rFonts w:cstheme="minorHAnsi"/>
        </w:rPr>
        <w:t xml:space="preserve">. </w:t>
      </w:r>
    </w:p>
    <w:p w:rsidR="00B71893" w:rsidRPr="00632EA7" w:rsidRDefault="00B71893" w:rsidP="00632EA7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Krzywa zamrażania i rozmrażania. </w:t>
      </w:r>
    </w:p>
    <w:p w:rsidR="00B71893" w:rsidRPr="00632EA7" w:rsidRDefault="00B71893" w:rsidP="00632EA7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Związek między protokołami mrożeni</w:t>
      </w:r>
      <w:r w:rsidR="008B1C60" w:rsidRPr="00632EA7">
        <w:rPr>
          <w:rFonts w:cstheme="minorHAnsi"/>
        </w:rPr>
        <w:t>a i rozmra</w:t>
      </w:r>
      <w:r w:rsidRPr="00632EA7">
        <w:rPr>
          <w:rFonts w:cstheme="minorHAnsi"/>
        </w:rPr>
        <w:t>ż</w:t>
      </w:r>
      <w:r w:rsidR="008B1C60" w:rsidRPr="00632EA7">
        <w:rPr>
          <w:rFonts w:cstheme="minorHAnsi"/>
        </w:rPr>
        <w:t>ania</w:t>
      </w:r>
      <w:r w:rsidRPr="00632EA7">
        <w:rPr>
          <w:rFonts w:cstheme="minorHAnsi"/>
        </w:rPr>
        <w:t xml:space="preserve">. 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proofErr w:type="spellStart"/>
      <w:r w:rsidRPr="00632EA7">
        <w:rPr>
          <w:rFonts w:cstheme="minorHAnsi"/>
        </w:rPr>
        <w:t>Krioprezerwacja</w:t>
      </w:r>
      <w:proofErr w:type="spellEnd"/>
    </w:p>
    <w:p w:rsidR="00B71893" w:rsidRPr="00632EA7" w:rsidRDefault="00B71893" w:rsidP="00632EA7">
      <w:pPr>
        <w:pStyle w:val="Akapitzlist"/>
        <w:numPr>
          <w:ilvl w:val="0"/>
          <w:numId w:val="27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Mrożenie w parach azotu. </w:t>
      </w:r>
    </w:p>
    <w:p w:rsidR="00B71893" w:rsidRPr="00632EA7" w:rsidRDefault="008B552F" w:rsidP="00632EA7">
      <w:pPr>
        <w:pStyle w:val="Akapitzlist"/>
        <w:numPr>
          <w:ilvl w:val="0"/>
          <w:numId w:val="27"/>
        </w:numPr>
        <w:spacing w:line="240" w:lineRule="auto"/>
        <w:jc w:val="both"/>
        <w:rPr>
          <w:rFonts w:cstheme="minorHAnsi"/>
        </w:rPr>
      </w:pPr>
      <w:proofErr w:type="spellStart"/>
      <w:r w:rsidRPr="00632EA7">
        <w:rPr>
          <w:rFonts w:cstheme="minorHAnsi"/>
        </w:rPr>
        <w:t>W</w:t>
      </w:r>
      <w:r w:rsidR="00B71893" w:rsidRPr="00632EA7">
        <w:rPr>
          <w:rFonts w:cstheme="minorHAnsi"/>
        </w:rPr>
        <w:t>itryfikacja</w:t>
      </w:r>
      <w:proofErr w:type="spellEnd"/>
      <w:r w:rsidR="00B71893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Postępowanie z próbkami niebezpiecznymi oraz obarczonymi ryzykiem biologicznym.</w:t>
      </w:r>
    </w:p>
    <w:p w:rsidR="00B71893" w:rsidRPr="00632EA7" w:rsidRDefault="00B71893" w:rsidP="00632EA7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Bezpieczne metody </w:t>
      </w:r>
      <w:proofErr w:type="spellStart"/>
      <w:r w:rsidRPr="00632EA7">
        <w:rPr>
          <w:rFonts w:cstheme="minorHAnsi"/>
        </w:rPr>
        <w:t>krioprezerwacji</w:t>
      </w:r>
      <w:proofErr w:type="spellEnd"/>
      <w:r w:rsidRPr="00632EA7">
        <w:rPr>
          <w:rFonts w:cstheme="minorHAnsi"/>
        </w:rPr>
        <w:t xml:space="preserve"> materiału </w:t>
      </w:r>
      <w:r w:rsidR="008B552F" w:rsidRPr="00632EA7">
        <w:rPr>
          <w:rFonts w:cstheme="minorHAnsi"/>
        </w:rPr>
        <w:t>biologicznego</w:t>
      </w:r>
      <w:r w:rsidR="00966261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Postępowanie z próbkami o nieznanym statusie.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Podstawy </w:t>
      </w:r>
      <w:proofErr w:type="spellStart"/>
      <w:r w:rsidR="008B552F" w:rsidRPr="00632EA7">
        <w:rPr>
          <w:rFonts w:cstheme="minorHAnsi"/>
        </w:rPr>
        <w:t>w</w:t>
      </w:r>
      <w:r w:rsidRPr="00632EA7">
        <w:rPr>
          <w:rFonts w:cstheme="minorHAnsi"/>
        </w:rPr>
        <w:t>itryfikacji</w:t>
      </w:r>
      <w:proofErr w:type="spellEnd"/>
      <w:r w:rsidRPr="00632EA7">
        <w:rPr>
          <w:rFonts w:cstheme="minorHAnsi"/>
        </w:rPr>
        <w:t xml:space="preserve">. </w:t>
      </w:r>
    </w:p>
    <w:p w:rsidR="00B71893" w:rsidRPr="00632EA7" w:rsidRDefault="00B71893" w:rsidP="00632EA7">
      <w:pPr>
        <w:pStyle w:val="Akapitzlist"/>
        <w:numPr>
          <w:ilvl w:val="0"/>
          <w:numId w:val="3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Protokoły, sprzęt i odczynniki. </w:t>
      </w:r>
    </w:p>
    <w:p w:rsidR="00B71893" w:rsidRPr="00632EA7" w:rsidRDefault="00B71893" w:rsidP="00632EA7">
      <w:pPr>
        <w:pStyle w:val="Akapitzlist"/>
        <w:numPr>
          <w:ilvl w:val="0"/>
          <w:numId w:val="3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Systemy zamknięte i otwarte. </w:t>
      </w:r>
    </w:p>
    <w:p w:rsidR="00B71893" w:rsidRPr="00632EA7" w:rsidRDefault="00B71893" w:rsidP="00632EA7">
      <w:pPr>
        <w:pStyle w:val="Akapitzlist"/>
        <w:numPr>
          <w:ilvl w:val="0"/>
          <w:numId w:val="31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Zamrażanie i odmrażanie.</w:t>
      </w:r>
      <w:r w:rsidRPr="00632EA7">
        <w:rPr>
          <w:rFonts w:cstheme="minorHAnsi"/>
        </w:rPr>
        <w:tab/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Mrożenie komórek jajowych. </w:t>
      </w:r>
    </w:p>
    <w:p w:rsidR="00B71893" w:rsidRPr="00632EA7" w:rsidRDefault="00B71893" w:rsidP="00632EA7">
      <w:pPr>
        <w:pStyle w:val="Akapitzlist"/>
        <w:numPr>
          <w:ilvl w:val="0"/>
          <w:numId w:val="3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Protokoły, sprzęt i odczynniki. </w:t>
      </w:r>
    </w:p>
    <w:p w:rsidR="00B71893" w:rsidRPr="00632EA7" w:rsidRDefault="00B71893" w:rsidP="00632EA7">
      <w:pPr>
        <w:pStyle w:val="Akapitzlist"/>
        <w:numPr>
          <w:ilvl w:val="0"/>
          <w:numId w:val="3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Systemy zamknięte i otwarte. </w:t>
      </w:r>
    </w:p>
    <w:p w:rsidR="00B71893" w:rsidRPr="00632EA7" w:rsidRDefault="00B71893" w:rsidP="00632EA7">
      <w:pPr>
        <w:pStyle w:val="Akapitzlist"/>
        <w:numPr>
          <w:ilvl w:val="0"/>
          <w:numId w:val="3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Zamrażanie i odmrażanie. </w:t>
      </w:r>
    </w:p>
    <w:p w:rsidR="00B71893" w:rsidRPr="00632EA7" w:rsidRDefault="00B71893" w:rsidP="00632EA7">
      <w:pPr>
        <w:pStyle w:val="Akapitzlist"/>
        <w:numPr>
          <w:ilvl w:val="0"/>
          <w:numId w:val="3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Zalety i wady metody.</w:t>
      </w:r>
    </w:p>
    <w:p w:rsidR="00B71893" w:rsidRPr="00632EA7" w:rsidRDefault="00B71893" w:rsidP="00632EA7">
      <w:pPr>
        <w:pStyle w:val="Akapitzlist"/>
        <w:numPr>
          <w:ilvl w:val="0"/>
          <w:numId w:val="32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Ryzyko genetyczne związane z mrożeniem oocytów. 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proofErr w:type="spellStart"/>
      <w:r w:rsidRPr="00632EA7">
        <w:rPr>
          <w:rFonts w:cstheme="minorHAnsi"/>
        </w:rPr>
        <w:t>Krioprezerwacja</w:t>
      </w:r>
      <w:proofErr w:type="spellEnd"/>
      <w:r w:rsidRPr="00632EA7">
        <w:rPr>
          <w:rFonts w:cstheme="minorHAnsi"/>
        </w:rPr>
        <w:t xml:space="preserve"> zarodków. </w:t>
      </w:r>
    </w:p>
    <w:p w:rsidR="00B71893" w:rsidRPr="00632EA7" w:rsidRDefault="00B71893" w:rsidP="00632EA7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Wolne i szybkie protokoły mrożeni</w:t>
      </w:r>
      <w:r w:rsidR="008B552F" w:rsidRPr="00632EA7">
        <w:rPr>
          <w:rFonts w:cstheme="minorHAnsi"/>
        </w:rPr>
        <w:t>a</w:t>
      </w:r>
      <w:r w:rsidRPr="00632EA7">
        <w:rPr>
          <w:rFonts w:cstheme="minorHAnsi"/>
        </w:rPr>
        <w:t xml:space="preserve">. </w:t>
      </w:r>
    </w:p>
    <w:p w:rsidR="00B71893" w:rsidRPr="00632EA7" w:rsidRDefault="00B71893" w:rsidP="00632EA7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Procedury odmrażania. </w:t>
      </w:r>
    </w:p>
    <w:p w:rsidR="00B71893" w:rsidRPr="00632EA7" w:rsidRDefault="008B552F" w:rsidP="00632EA7">
      <w:pPr>
        <w:pStyle w:val="Akapitzlist"/>
        <w:numPr>
          <w:ilvl w:val="0"/>
          <w:numId w:val="34"/>
        </w:numPr>
        <w:spacing w:line="240" w:lineRule="auto"/>
        <w:jc w:val="both"/>
        <w:rPr>
          <w:rFonts w:cstheme="minorHAnsi"/>
        </w:rPr>
      </w:pPr>
      <w:proofErr w:type="spellStart"/>
      <w:r w:rsidRPr="00632EA7">
        <w:rPr>
          <w:rFonts w:cstheme="minorHAnsi"/>
        </w:rPr>
        <w:t>W</w:t>
      </w:r>
      <w:r w:rsidR="00B71893" w:rsidRPr="00632EA7">
        <w:rPr>
          <w:rFonts w:cstheme="minorHAnsi"/>
        </w:rPr>
        <w:t>itryfikacja</w:t>
      </w:r>
      <w:proofErr w:type="spellEnd"/>
      <w:r w:rsidR="00B71893" w:rsidRPr="00632EA7">
        <w:rPr>
          <w:rFonts w:cstheme="minorHAnsi"/>
        </w:rPr>
        <w:t xml:space="preserve">. 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Systemy indywidualnego znakowania materiałów biologicznych. </w:t>
      </w:r>
    </w:p>
    <w:p w:rsidR="00B71893" w:rsidRPr="00632EA7" w:rsidRDefault="00B71893" w:rsidP="00632EA7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Zasady tworzenia niepowtarzalnego oznakowania próbek.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Historia bankowania komórek rozrodczych i zarodków</w:t>
      </w:r>
      <w:r w:rsidR="00966261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Bank komórek rozrodczych i zarodków – zasady działania w świetle obowiązujących przepisów prawnych</w:t>
      </w:r>
      <w:r w:rsidR="00966261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Standardy i organizacje międzynarodowe. </w:t>
      </w:r>
    </w:p>
    <w:p w:rsidR="00B71893" w:rsidRPr="00632EA7" w:rsidRDefault="00B71893" w:rsidP="00632EA7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Podstawy prawne i organizacyjne funkcjonowania Banków komórek rozrodczych </w:t>
      </w:r>
      <w:r w:rsidR="00966261" w:rsidRPr="00632EA7">
        <w:rPr>
          <w:rFonts w:cstheme="minorHAnsi"/>
        </w:rPr>
        <w:br/>
      </w:r>
      <w:r w:rsidRPr="00632EA7">
        <w:rPr>
          <w:rFonts w:cstheme="minorHAnsi"/>
        </w:rPr>
        <w:t>i zarodków</w:t>
      </w:r>
      <w:r w:rsidR="00966261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Zarządzanie bankiem komórek rozrodczych i zarodków. </w:t>
      </w:r>
    </w:p>
    <w:p w:rsidR="00B71893" w:rsidRPr="00632EA7" w:rsidRDefault="00B71893" w:rsidP="00632EA7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Osoba odpowiedzialna za jakość w Banku komórek rozrodczych i zarodków</w:t>
      </w:r>
      <w:r w:rsidR="00966261" w:rsidRPr="00632EA7">
        <w:rPr>
          <w:rFonts w:cstheme="minorHAnsi"/>
        </w:rPr>
        <w:t>:</w:t>
      </w:r>
    </w:p>
    <w:p w:rsidR="00B71893" w:rsidRPr="00632EA7" w:rsidRDefault="00B71893" w:rsidP="00632EA7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wymagane wykształcenie i doświadczenie,</w:t>
      </w:r>
    </w:p>
    <w:p w:rsidR="00B71893" w:rsidRPr="00632EA7" w:rsidRDefault="00B71893" w:rsidP="00632EA7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stanowisko, pozycja, rola, zadania</w:t>
      </w:r>
      <w:r w:rsidR="00966261" w:rsidRPr="00632EA7">
        <w:rPr>
          <w:rFonts w:cstheme="minorHAnsi"/>
        </w:rPr>
        <w:t>,</w:t>
      </w:r>
    </w:p>
    <w:p w:rsidR="00966261" w:rsidRPr="00632EA7" w:rsidRDefault="00B71893" w:rsidP="00632EA7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obowiązki osoby odpowiedzialnej w banku komórek rozrodczych i zarodków </w:t>
      </w:r>
      <w:r w:rsidR="008B552F" w:rsidRPr="00632EA7">
        <w:rPr>
          <w:rFonts w:cstheme="minorHAnsi"/>
        </w:rPr>
        <w:br/>
      </w:r>
      <w:r w:rsidRPr="00632EA7">
        <w:rPr>
          <w:rFonts w:cstheme="minorHAnsi"/>
        </w:rPr>
        <w:t>(</w:t>
      </w:r>
      <w:r w:rsidR="003E66BA" w:rsidRPr="00632EA7">
        <w:rPr>
          <w:rFonts w:cstheme="minorHAnsi"/>
        </w:rPr>
        <w:t xml:space="preserve">w szczególności dotyczące: postępowania zgodnego z ustawą, przekazywania danych i informacji do rejestru dawców komórek rozrodczych </w:t>
      </w:r>
      <w:r w:rsidR="003E66BA" w:rsidRPr="00632EA7">
        <w:rPr>
          <w:rFonts w:cstheme="minorHAnsi"/>
        </w:rPr>
        <w:br/>
        <w:t>i zarodków, powiadamiania o zdarzeniach nieporządnych i niepożądanych reakcjach</w:t>
      </w:r>
      <w:r w:rsidRPr="00632EA7">
        <w:rPr>
          <w:rFonts w:cstheme="minorHAnsi"/>
        </w:rPr>
        <w:t>)</w:t>
      </w:r>
      <w:r w:rsidR="00966261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Zasady współpracy z innymi bankami komórek rozrodczych i zarodków, innymi ośrodkami medycznie wspomaganej prokreacji oraz innymi podmiotami.</w:t>
      </w:r>
    </w:p>
    <w:p w:rsidR="00B71893" w:rsidRPr="00632EA7" w:rsidRDefault="00B71893" w:rsidP="00632EA7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Symulacje poszczególnych etapów pracy osoby odpowiedzialnej za jakość w </w:t>
      </w:r>
      <w:r w:rsidR="008B552F" w:rsidRPr="00632EA7">
        <w:rPr>
          <w:rFonts w:cstheme="minorHAnsi"/>
        </w:rPr>
        <w:t>B</w:t>
      </w:r>
      <w:r w:rsidRPr="00632EA7">
        <w:rPr>
          <w:rFonts w:cstheme="minorHAnsi"/>
        </w:rPr>
        <w:t>anku komórek rozrodczych i zarodków.</w:t>
      </w:r>
    </w:p>
    <w:p w:rsidR="00B71893" w:rsidRPr="00632EA7" w:rsidRDefault="00B71893" w:rsidP="00632EA7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Raportowanie procedur. </w:t>
      </w:r>
    </w:p>
    <w:p w:rsidR="00B71893" w:rsidRPr="00632EA7" w:rsidRDefault="00B71893" w:rsidP="00632EA7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Kontrola.</w:t>
      </w:r>
    </w:p>
    <w:p w:rsidR="00B71893" w:rsidRPr="00632EA7" w:rsidRDefault="00B71893" w:rsidP="00632EA7">
      <w:pPr>
        <w:pStyle w:val="Akapitzlist"/>
        <w:numPr>
          <w:ilvl w:val="0"/>
          <w:numId w:val="45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Wyposażenie i organizacja pracy w banku komórek rozrodczych i zarodków</w:t>
      </w:r>
      <w:r w:rsidR="00966261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Postępowanie z ciekłym azotem. </w:t>
      </w:r>
    </w:p>
    <w:p w:rsidR="00B71893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lastRenderedPageBreak/>
        <w:t xml:space="preserve">Systemy nadzoru i bezpieczeństwa depozytów. </w:t>
      </w:r>
    </w:p>
    <w:p w:rsidR="00B71893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Kontrola jakości i dokumentacja. </w:t>
      </w:r>
    </w:p>
    <w:p w:rsidR="00B71893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Zasady zachowania jałowości. </w:t>
      </w:r>
    </w:p>
    <w:p w:rsidR="00B71893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Zasady bezpieczeństwa i higieny pracy.</w:t>
      </w:r>
      <w:r w:rsidRPr="00632EA7">
        <w:rPr>
          <w:rFonts w:cstheme="minorHAnsi"/>
        </w:rPr>
        <w:tab/>
      </w:r>
    </w:p>
    <w:p w:rsidR="00B71893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Sterylizacja sprzętu i urządzeń</w:t>
      </w:r>
      <w:r w:rsidR="00966261" w:rsidRPr="00632EA7">
        <w:rPr>
          <w:rFonts w:cstheme="minorHAnsi"/>
        </w:rPr>
        <w:t>.</w:t>
      </w:r>
    </w:p>
    <w:p w:rsidR="00B71893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Budowa i parametry techniczne pojemników do przechowywania próbek biologicznych.</w:t>
      </w:r>
    </w:p>
    <w:p w:rsidR="00B71893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Szybkość odparowywania azotu z </w:t>
      </w:r>
      <w:proofErr w:type="spellStart"/>
      <w:r w:rsidRPr="00632EA7">
        <w:rPr>
          <w:rFonts w:cstheme="minorHAnsi"/>
        </w:rPr>
        <w:t>dewarów</w:t>
      </w:r>
      <w:proofErr w:type="spellEnd"/>
      <w:r w:rsidRPr="00632EA7">
        <w:rPr>
          <w:rFonts w:cstheme="minorHAnsi"/>
        </w:rPr>
        <w:t xml:space="preserve">. </w:t>
      </w:r>
    </w:p>
    <w:p w:rsidR="00B71893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 xml:space="preserve">Zapewnienie bezpieczeństwa próbek. </w:t>
      </w:r>
    </w:p>
    <w:p w:rsidR="00B71893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Systemy składowania próbek biologicznych - słomki, probówki, systemy specjalne.</w:t>
      </w:r>
    </w:p>
    <w:p w:rsidR="0021675A" w:rsidRPr="00632EA7" w:rsidRDefault="00B71893" w:rsidP="00632EA7">
      <w:pPr>
        <w:pStyle w:val="Akapitzlist"/>
        <w:numPr>
          <w:ilvl w:val="0"/>
          <w:numId w:val="40"/>
        </w:numPr>
        <w:spacing w:line="240" w:lineRule="auto"/>
        <w:jc w:val="both"/>
        <w:rPr>
          <w:rFonts w:cstheme="minorHAnsi"/>
        </w:rPr>
      </w:pPr>
      <w:r w:rsidRPr="00632EA7">
        <w:rPr>
          <w:rFonts w:cstheme="minorHAnsi"/>
        </w:rPr>
        <w:t>Znakowanie próbek biologicznych.</w:t>
      </w:r>
    </w:p>
    <w:p w:rsidR="006C3EAA" w:rsidRPr="00632EA7" w:rsidRDefault="006C3EAA" w:rsidP="00632EA7">
      <w:pPr>
        <w:spacing w:line="240" w:lineRule="auto"/>
        <w:rPr>
          <w:rFonts w:eastAsia="Calibri" w:cstheme="minorHAnsi"/>
          <w:highlight w:val="yellow"/>
        </w:rPr>
      </w:pPr>
    </w:p>
    <w:p w:rsidR="006C3EAA" w:rsidRPr="00632EA7" w:rsidRDefault="006C3EAA" w:rsidP="00632EA7">
      <w:pPr>
        <w:spacing w:line="240" w:lineRule="auto"/>
        <w:jc w:val="center"/>
        <w:rPr>
          <w:rFonts w:eastAsia="Calibri" w:cstheme="minorHAnsi"/>
        </w:rPr>
      </w:pPr>
      <w:r w:rsidRPr="00632EA7">
        <w:rPr>
          <w:rFonts w:eastAsia="Calibri" w:cstheme="minorHAnsi"/>
        </w:rPr>
        <w:t>Zatwierdzam</w:t>
      </w:r>
    </w:p>
    <w:p w:rsidR="006C3EAA" w:rsidRPr="00632EA7" w:rsidRDefault="006C3EAA" w:rsidP="00632EA7">
      <w:pPr>
        <w:spacing w:line="240" w:lineRule="auto"/>
        <w:rPr>
          <w:rFonts w:eastAsia="Calibri" w:cstheme="minorHAnsi"/>
        </w:rPr>
      </w:pPr>
    </w:p>
    <w:p w:rsidR="006C3EAA" w:rsidRPr="00632EA7" w:rsidRDefault="006C3EAA" w:rsidP="00632EA7">
      <w:pPr>
        <w:spacing w:after="0" w:line="240" w:lineRule="auto"/>
        <w:jc w:val="center"/>
        <w:rPr>
          <w:rFonts w:eastAsia="Calibri" w:cstheme="minorHAnsi"/>
        </w:rPr>
      </w:pPr>
      <w:r w:rsidRPr="00632EA7">
        <w:rPr>
          <w:rFonts w:eastAsia="Calibri" w:cstheme="minorHAnsi"/>
        </w:rPr>
        <w:t>…………………………………..……………………..</w:t>
      </w:r>
    </w:p>
    <w:p w:rsidR="006C3EAA" w:rsidRPr="00632EA7" w:rsidRDefault="00704251" w:rsidP="00632EA7">
      <w:pPr>
        <w:spacing w:after="0" w:line="240" w:lineRule="auto"/>
        <w:jc w:val="center"/>
        <w:rPr>
          <w:rFonts w:eastAsia="Calibri" w:cstheme="minorHAnsi"/>
        </w:rPr>
      </w:pPr>
      <w:r w:rsidRPr="00632EA7">
        <w:rPr>
          <w:rFonts w:eastAsia="Calibri" w:cstheme="minorHAnsi"/>
        </w:rPr>
        <w:t>d</w:t>
      </w:r>
      <w:r w:rsidR="006C3EAA" w:rsidRPr="00632EA7">
        <w:rPr>
          <w:rFonts w:eastAsia="Calibri" w:cstheme="minorHAnsi"/>
        </w:rPr>
        <w:t xml:space="preserve">r n. med. </w:t>
      </w:r>
      <w:r w:rsidRPr="00632EA7">
        <w:rPr>
          <w:rFonts w:eastAsia="Calibri" w:cstheme="minorHAnsi"/>
        </w:rPr>
        <w:t>Rafał Krasiński</w:t>
      </w:r>
    </w:p>
    <w:p w:rsidR="006C3EAA" w:rsidRDefault="006C3EAA" w:rsidP="00632EA7">
      <w:pPr>
        <w:spacing w:after="0" w:line="240" w:lineRule="auto"/>
        <w:jc w:val="center"/>
        <w:rPr>
          <w:rFonts w:eastAsia="Calibri" w:cstheme="minorHAnsi"/>
        </w:rPr>
      </w:pPr>
      <w:r w:rsidRPr="00632EA7">
        <w:rPr>
          <w:rFonts w:eastAsia="Calibri" w:cstheme="minorHAnsi"/>
        </w:rPr>
        <w:t xml:space="preserve">Kierownik </w:t>
      </w:r>
      <w:r w:rsidR="00704251" w:rsidRPr="00632EA7">
        <w:rPr>
          <w:rFonts w:eastAsia="Calibri" w:cstheme="minorHAnsi"/>
        </w:rPr>
        <w:t>Banku komórek rozrodczych i zarodków</w:t>
      </w:r>
    </w:p>
    <w:p w:rsidR="00632EA7" w:rsidRPr="00632EA7" w:rsidRDefault="00632EA7" w:rsidP="00632EA7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Osoba odpowiedzialna za jakość w </w:t>
      </w:r>
      <w:r w:rsidRPr="00632EA7">
        <w:rPr>
          <w:rFonts w:eastAsia="Calibri" w:cstheme="minorHAnsi"/>
        </w:rPr>
        <w:t>Banku komórek rozrodczych i zarodków</w:t>
      </w:r>
      <w:bookmarkStart w:id="0" w:name="_GoBack"/>
      <w:bookmarkEnd w:id="0"/>
    </w:p>
    <w:p w:rsidR="00704251" w:rsidRPr="00632EA7" w:rsidRDefault="00704251" w:rsidP="00632EA7">
      <w:pPr>
        <w:spacing w:after="0" w:line="240" w:lineRule="auto"/>
        <w:jc w:val="center"/>
        <w:rPr>
          <w:rFonts w:eastAsia="Calibri" w:cstheme="minorHAnsi"/>
        </w:rPr>
      </w:pPr>
      <w:r w:rsidRPr="00632EA7">
        <w:rPr>
          <w:rFonts w:eastAsia="Calibri" w:cstheme="minorHAnsi"/>
        </w:rPr>
        <w:t>Kierownik Pracowni rozrodu wspomaganego</w:t>
      </w:r>
    </w:p>
    <w:p w:rsidR="006C3EAA" w:rsidRDefault="006C3EAA" w:rsidP="006C3EAA">
      <w:pPr>
        <w:spacing w:line="360" w:lineRule="auto"/>
        <w:jc w:val="both"/>
      </w:pPr>
    </w:p>
    <w:sectPr w:rsidR="006C3E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73" w:rsidRDefault="00C26E73" w:rsidP="00C26E73">
      <w:pPr>
        <w:spacing w:after="0" w:line="240" w:lineRule="auto"/>
      </w:pPr>
      <w:r>
        <w:separator/>
      </w:r>
    </w:p>
  </w:endnote>
  <w:endnote w:type="continuationSeparator" w:id="0">
    <w:p w:rsidR="00C26E73" w:rsidRDefault="00C26E73" w:rsidP="00C2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965074518"/>
      <w:docPartObj>
        <w:docPartGallery w:val="Page Numbers (Bottom of Page)"/>
        <w:docPartUnique/>
      </w:docPartObj>
    </w:sdtPr>
    <w:sdtEndPr/>
    <w:sdtContent>
      <w:p w:rsidR="00C26E73" w:rsidRPr="00C26E73" w:rsidRDefault="00C26E7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26E73">
          <w:rPr>
            <w:rFonts w:ascii="Arial" w:hAnsi="Arial" w:cs="Arial"/>
            <w:sz w:val="18"/>
            <w:szCs w:val="18"/>
          </w:rPr>
          <w:t xml:space="preserve">Strona | </w:t>
        </w:r>
        <w:r w:rsidRPr="00C26E73">
          <w:rPr>
            <w:rFonts w:ascii="Arial" w:hAnsi="Arial" w:cs="Arial"/>
            <w:sz w:val="18"/>
            <w:szCs w:val="18"/>
          </w:rPr>
          <w:fldChar w:fldCharType="begin"/>
        </w:r>
        <w:r w:rsidRPr="00C26E73">
          <w:rPr>
            <w:rFonts w:ascii="Arial" w:hAnsi="Arial" w:cs="Arial"/>
            <w:sz w:val="18"/>
            <w:szCs w:val="18"/>
          </w:rPr>
          <w:instrText>PAGE   \* MERGEFORMAT</w:instrText>
        </w:r>
        <w:r w:rsidRPr="00C26E73">
          <w:rPr>
            <w:rFonts w:ascii="Arial" w:hAnsi="Arial" w:cs="Arial"/>
            <w:sz w:val="18"/>
            <w:szCs w:val="18"/>
          </w:rPr>
          <w:fldChar w:fldCharType="separate"/>
        </w:r>
        <w:r w:rsidR="00632EA7">
          <w:rPr>
            <w:rFonts w:ascii="Arial" w:hAnsi="Arial" w:cs="Arial"/>
            <w:noProof/>
            <w:sz w:val="18"/>
            <w:szCs w:val="18"/>
          </w:rPr>
          <w:t>6</w:t>
        </w:r>
        <w:r w:rsidRPr="00C26E73">
          <w:rPr>
            <w:rFonts w:ascii="Arial" w:hAnsi="Arial" w:cs="Arial"/>
            <w:sz w:val="18"/>
            <w:szCs w:val="18"/>
          </w:rPr>
          <w:fldChar w:fldCharType="end"/>
        </w:r>
        <w:r w:rsidRPr="00C26E73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:rsidR="00C26E73" w:rsidRDefault="00C26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73" w:rsidRDefault="00C26E73" w:rsidP="00C26E73">
      <w:pPr>
        <w:spacing w:after="0" w:line="240" w:lineRule="auto"/>
      </w:pPr>
      <w:r>
        <w:separator/>
      </w:r>
    </w:p>
  </w:footnote>
  <w:footnote w:type="continuationSeparator" w:id="0">
    <w:p w:rsidR="00C26E73" w:rsidRDefault="00C26E73" w:rsidP="00C2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73" w:rsidRDefault="00C26E73">
    <w:pPr>
      <w:pStyle w:val="Nagwek"/>
    </w:pPr>
    <w:r>
      <w:rPr>
        <w:noProof/>
        <w:lang w:eastAsia="pl-PL"/>
      </w:rPr>
      <w:drawing>
        <wp:inline distT="0" distB="0" distL="0" distR="0" wp14:anchorId="101E8A24" wp14:editId="7EA63561">
          <wp:extent cx="1944000" cy="655200"/>
          <wp:effectExtent l="0" t="0" r="0" b="0"/>
          <wp:docPr id="1" name="Obraz 4" descr="gameta_niebieskie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gameta_niebieskie_7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0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B68"/>
    <w:multiLevelType w:val="hybridMultilevel"/>
    <w:tmpl w:val="A7723242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1D9C"/>
    <w:multiLevelType w:val="hybridMultilevel"/>
    <w:tmpl w:val="546AE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E7A"/>
    <w:multiLevelType w:val="hybridMultilevel"/>
    <w:tmpl w:val="091AA62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7300C2"/>
    <w:multiLevelType w:val="hybridMultilevel"/>
    <w:tmpl w:val="94AC21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B590F"/>
    <w:multiLevelType w:val="hybridMultilevel"/>
    <w:tmpl w:val="BF8E63D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942B88"/>
    <w:multiLevelType w:val="hybridMultilevel"/>
    <w:tmpl w:val="8BCA562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40C23"/>
    <w:multiLevelType w:val="hybridMultilevel"/>
    <w:tmpl w:val="8BE431EA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BBF"/>
    <w:multiLevelType w:val="hybridMultilevel"/>
    <w:tmpl w:val="24B2229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0E1F64"/>
    <w:multiLevelType w:val="hybridMultilevel"/>
    <w:tmpl w:val="DC6EEA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1C32DE"/>
    <w:multiLevelType w:val="hybridMultilevel"/>
    <w:tmpl w:val="7D8ABF8A"/>
    <w:lvl w:ilvl="0" w:tplc="389ACC90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026B9"/>
    <w:multiLevelType w:val="hybridMultilevel"/>
    <w:tmpl w:val="7F86DD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76B8D"/>
    <w:multiLevelType w:val="hybridMultilevel"/>
    <w:tmpl w:val="BF082D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D4389"/>
    <w:multiLevelType w:val="hybridMultilevel"/>
    <w:tmpl w:val="3DE04E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943A5"/>
    <w:multiLevelType w:val="hybridMultilevel"/>
    <w:tmpl w:val="D6D8B1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EB3D5B"/>
    <w:multiLevelType w:val="hybridMultilevel"/>
    <w:tmpl w:val="1E2E4446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74E6E2C"/>
    <w:multiLevelType w:val="hybridMultilevel"/>
    <w:tmpl w:val="A3125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82463"/>
    <w:multiLevelType w:val="hybridMultilevel"/>
    <w:tmpl w:val="D3C0E84A"/>
    <w:lvl w:ilvl="0" w:tplc="EDB25F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3451C"/>
    <w:multiLevelType w:val="hybridMultilevel"/>
    <w:tmpl w:val="183E45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65611"/>
    <w:multiLevelType w:val="hybridMultilevel"/>
    <w:tmpl w:val="27F425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B3A1B"/>
    <w:multiLevelType w:val="hybridMultilevel"/>
    <w:tmpl w:val="BA084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80171"/>
    <w:multiLevelType w:val="hybridMultilevel"/>
    <w:tmpl w:val="DF52DF1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87645B"/>
    <w:multiLevelType w:val="hybridMultilevel"/>
    <w:tmpl w:val="62C8F4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E74CF"/>
    <w:multiLevelType w:val="hybridMultilevel"/>
    <w:tmpl w:val="7D42A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A56F45"/>
    <w:multiLevelType w:val="hybridMultilevel"/>
    <w:tmpl w:val="FF7E33C2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187D"/>
    <w:multiLevelType w:val="hybridMultilevel"/>
    <w:tmpl w:val="984871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3F707F"/>
    <w:multiLevelType w:val="hybridMultilevel"/>
    <w:tmpl w:val="36D04288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64A71"/>
    <w:multiLevelType w:val="hybridMultilevel"/>
    <w:tmpl w:val="25D6EE26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4026D"/>
    <w:multiLevelType w:val="hybridMultilevel"/>
    <w:tmpl w:val="14763A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7B00E6"/>
    <w:multiLevelType w:val="hybridMultilevel"/>
    <w:tmpl w:val="4D8A32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45094E"/>
    <w:multiLevelType w:val="hybridMultilevel"/>
    <w:tmpl w:val="3530D2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838AB"/>
    <w:multiLevelType w:val="hybridMultilevel"/>
    <w:tmpl w:val="87EE43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FC65D3"/>
    <w:multiLevelType w:val="hybridMultilevel"/>
    <w:tmpl w:val="2C4A8694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F11BA"/>
    <w:multiLevelType w:val="hybridMultilevel"/>
    <w:tmpl w:val="6012F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C51C0"/>
    <w:multiLevelType w:val="hybridMultilevel"/>
    <w:tmpl w:val="F176C1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5C1175"/>
    <w:multiLevelType w:val="hybridMultilevel"/>
    <w:tmpl w:val="B502955A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F4ED7"/>
    <w:multiLevelType w:val="hybridMultilevel"/>
    <w:tmpl w:val="A246C0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E75199"/>
    <w:multiLevelType w:val="hybridMultilevel"/>
    <w:tmpl w:val="D59EA8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B85D73"/>
    <w:multiLevelType w:val="hybridMultilevel"/>
    <w:tmpl w:val="A4283F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525301"/>
    <w:multiLevelType w:val="hybridMultilevel"/>
    <w:tmpl w:val="06A6718C"/>
    <w:lvl w:ilvl="0" w:tplc="A1A6F3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958DD"/>
    <w:multiLevelType w:val="hybridMultilevel"/>
    <w:tmpl w:val="D7F69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D5E5D"/>
    <w:multiLevelType w:val="hybridMultilevel"/>
    <w:tmpl w:val="C254C9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5F57C7"/>
    <w:multiLevelType w:val="hybridMultilevel"/>
    <w:tmpl w:val="677EB7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F6BC3"/>
    <w:multiLevelType w:val="hybridMultilevel"/>
    <w:tmpl w:val="14763A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C6363D"/>
    <w:multiLevelType w:val="hybridMultilevel"/>
    <w:tmpl w:val="0B446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71243"/>
    <w:multiLevelType w:val="hybridMultilevel"/>
    <w:tmpl w:val="B538C8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41"/>
  </w:num>
  <w:num w:numId="3">
    <w:abstractNumId w:val="43"/>
  </w:num>
  <w:num w:numId="4">
    <w:abstractNumId w:val="4"/>
  </w:num>
  <w:num w:numId="5">
    <w:abstractNumId w:val="20"/>
  </w:num>
  <w:num w:numId="6">
    <w:abstractNumId w:val="21"/>
  </w:num>
  <w:num w:numId="7">
    <w:abstractNumId w:val="7"/>
  </w:num>
  <w:num w:numId="8">
    <w:abstractNumId w:val="26"/>
  </w:num>
  <w:num w:numId="9">
    <w:abstractNumId w:val="5"/>
  </w:num>
  <w:num w:numId="10">
    <w:abstractNumId w:val="29"/>
  </w:num>
  <w:num w:numId="11">
    <w:abstractNumId w:val="23"/>
  </w:num>
  <w:num w:numId="12">
    <w:abstractNumId w:val="8"/>
  </w:num>
  <w:num w:numId="13">
    <w:abstractNumId w:val="0"/>
  </w:num>
  <w:num w:numId="14">
    <w:abstractNumId w:val="18"/>
  </w:num>
  <w:num w:numId="15">
    <w:abstractNumId w:val="34"/>
  </w:num>
  <w:num w:numId="16">
    <w:abstractNumId w:val="33"/>
  </w:num>
  <w:num w:numId="17">
    <w:abstractNumId w:val="31"/>
  </w:num>
  <w:num w:numId="18">
    <w:abstractNumId w:val="30"/>
  </w:num>
  <w:num w:numId="19">
    <w:abstractNumId w:val="13"/>
  </w:num>
  <w:num w:numId="20">
    <w:abstractNumId w:val="27"/>
  </w:num>
  <w:num w:numId="21">
    <w:abstractNumId w:val="42"/>
  </w:num>
  <w:num w:numId="22">
    <w:abstractNumId w:val="37"/>
  </w:num>
  <w:num w:numId="23">
    <w:abstractNumId w:val="17"/>
  </w:num>
  <w:num w:numId="24">
    <w:abstractNumId w:val="1"/>
  </w:num>
  <w:num w:numId="25">
    <w:abstractNumId w:val="3"/>
  </w:num>
  <w:num w:numId="26">
    <w:abstractNumId w:val="10"/>
  </w:num>
  <w:num w:numId="27">
    <w:abstractNumId w:val="35"/>
  </w:num>
  <w:num w:numId="28">
    <w:abstractNumId w:val="32"/>
  </w:num>
  <w:num w:numId="29">
    <w:abstractNumId w:val="39"/>
  </w:num>
  <w:num w:numId="30">
    <w:abstractNumId w:val="11"/>
  </w:num>
  <w:num w:numId="31">
    <w:abstractNumId w:val="28"/>
  </w:num>
  <w:num w:numId="32">
    <w:abstractNumId w:val="40"/>
  </w:num>
  <w:num w:numId="33">
    <w:abstractNumId w:val="15"/>
  </w:num>
  <w:num w:numId="34">
    <w:abstractNumId w:val="12"/>
  </w:num>
  <w:num w:numId="35">
    <w:abstractNumId w:val="36"/>
  </w:num>
  <w:num w:numId="36">
    <w:abstractNumId w:val="22"/>
  </w:num>
  <w:num w:numId="37">
    <w:abstractNumId w:val="2"/>
  </w:num>
  <w:num w:numId="38">
    <w:abstractNumId w:val="14"/>
  </w:num>
  <w:num w:numId="39">
    <w:abstractNumId w:val="6"/>
  </w:num>
  <w:num w:numId="40">
    <w:abstractNumId w:val="44"/>
  </w:num>
  <w:num w:numId="41">
    <w:abstractNumId w:val="19"/>
  </w:num>
  <w:num w:numId="42">
    <w:abstractNumId w:val="25"/>
  </w:num>
  <w:num w:numId="43">
    <w:abstractNumId w:val="24"/>
  </w:num>
  <w:num w:numId="44">
    <w:abstractNumId w:val="1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93"/>
    <w:rsid w:val="0021675A"/>
    <w:rsid w:val="002658F1"/>
    <w:rsid w:val="003E66BA"/>
    <w:rsid w:val="0055075C"/>
    <w:rsid w:val="00632EA7"/>
    <w:rsid w:val="006C3EAA"/>
    <w:rsid w:val="00704251"/>
    <w:rsid w:val="00847A24"/>
    <w:rsid w:val="008869EF"/>
    <w:rsid w:val="008B1C60"/>
    <w:rsid w:val="008B552F"/>
    <w:rsid w:val="00934E7A"/>
    <w:rsid w:val="00966261"/>
    <w:rsid w:val="00976E91"/>
    <w:rsid w:val="00B71893"/>
    <w:rsid w:val="00C0444B"/>
    <w:rsid w:val="00C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250FAEA-F9F3-4FD1-914D-06C293A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8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73"/>
  </w:style>
  <w:style w:type="paragraph" w:styleId="Stopka">
    <w:name w:val="footer"/>
    <w:basedOn w:val="Normalny"/>
    <w:link w:val="StopkaZnak"/>
    <w:uiPriority w:val="99"/>
    <w:unhideWhenUsed/>
    <w:rsid w:val="00C2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73"/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Radwan</dc:creator>
  <cp:keywords/>
  <dc:description/>
  <cp:lastModifiedBy>Dagmara Radwan</cp:lastModifiedBy>
  <cp:revision>14</cp:revision>
  <cp:lastPrinted>2016-06-09T12:21:00Z</cp:lastPrinted>
  <dcterms:created xsi:type="dcterms:W3CDTF">2016-05-25T11:48:00Z</dcterms:created>
  <dcterms:modified xsi:type="dcterms:W3CDTF">2021-01-14T11:02:00Z</dcterms:modified>
</cp:coreProperties>
</file>